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4A1" w:rsidRDefault="008C34A1">
      <w:pPr>
        <w:adjustRightInd w:val="0"/>
        <w:snapToGrid w:val="0"/>
        <w:spacing w:line="360" w:lineRule="auto"/>
        <w:jc w:val="center"/>
        <w:rPr>
          <w:rFonts w:asciiTheme="majorEastAsia" w:eastAsiaTheme="majorEastAsia" w:hAnsiTheme="majorEastAsia" w:cstheme="majorEastAsia"/>
          <w:b/>
          <w:bCs/>
          <w:sz w:val="32"/>
          <w:szCs w:val="32"/>
        </w:rPr>
      </w:pPr>
      <w:bookmarkStart w:id="0" w:name="_GoBack"/>
      <w:bookmarkEnd w:id="0"/>
    </w:p>
    <w:p w:rsidR="008C34A1" w:rsidRPr="00744653" w:rsidRDefault="00940C85">
      <w:pPr>
        <w:adjustRightInd w:val="0"/>
        <w:snapToGrid w:val="0"/>
        <w:spacing w:line="360" w:lineRule="auto"/>
        <w:jc w:val="center"/>
        <w:rPr>
          <w:rFonts w:ascii="黑体" w:eastAsia="黑体" w:hAnsi="黑体" w:cstheme="majorEastAsia"/>
          <w:bCs/>
          <w:sz w:val="44"/>
          <w:szCs w:val="44"/>
        </w:rPr>
      </w:pPr>
      <w:r w:rsidRPr="00744653">
        <w:rPr>
          <w:rFonts w:ascii="黑体" w:eastAsia="黑体" w:hAnsi="黑体" w:cstheme="majorEastAsia" w:hint="eastAsia"/>
          <w:bCs/>
          <w:sz w:val="44"/>
          <w:szCs w:val="44"/>
        </w:rPr>
        <w:t>规模化畜禽养殖场退养评估实践</w:t>
      </w:r>
    </w:p>
    <w:p w:rsidR="008C34A1" w:rsidRPr="00744653" w:rsidRDefault="00940C85">
      <w:pPr>
        <w:adjustRightInd w:val="0"/>
        <w:snapToGrid w:val="0"/>
        <w:spacing w:line="360" w:lineRule="auto"/>
        <w:jc w:val="center"/>
        <w:rPr>
          <w:rFonts w:ascii="黑体" w:eastAsia="黑体" w:hAnsi="黑体" w:cstheme="majorEastAsia"/>
          <w:bCs/>
          <w:sz w:val="44"/>
          <w:szCs w:val="44"/>
        </w:rPr>
      </w:pPr>
      <w:r w:rsidRPr="00744653">
        <w:rPr>
          <w:rFonts w:ascii="黑体" w:eastAsia="黑体" w:hAnsi="黑体" w:cstheme="majorEastAsia" w:hint="eastAsia"/>
          <w:bCs/>
          <w:sz w:val="44"/>
          <w:szCs w:val="44"/>
        </w:rPr>
        <w:t>探讨和总结</w:t>
      </w:r>
    </w:p>
    <w:p w:rsidR="008C34A1" w:rsidRPr="00744653" w:rsidRDefault="00940C85">
      <w:pPr>
        <w:adjustRightInd w:val="0"/>
        <w:snapToGrid w:val="0"/>
        <w:spacing w:line="360" w:lineRule="auto"/>
        <w:jc w:val="center"/>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张 荣</w:t>
      </w:r>
    </w:p>
    <w:p w:rsidR="008C34A1" w:rsidRPr="002B30FC" w:rsidRDefault="008C34A1">
      <w:pPr>
        <w:adjustRightInd w:val="0"/>
        <w:snapToGrid w:val="0"/>
        <w:spacing w:line="360" w:lineRule="auto"/>
        <w:jc w:val="center"/>
        <w:rPr>
          <w:rFonts w:ascii="仿宋_GB2312" w:eastAsia="仿宋_GB2312" w:hAnsiTheme="majorEastAsia" w:cstheme="majorEastAsia"/>
          <w:b/>
          <w:bCs/>
          <w:sz w:val="32"/>
          <w:szCs w:val="32"/>
        </w:rPr>
      </w:pPr>
    </w:p>
    <w:p w:rsidR="008C34A1" w:rsidRPr="00744653" w:rsidRDefault="00940C85" w:rsidP="00744653">
      <w:pPr>
        <w:adjustRightInd w:val="0"/>
        <w:snapToGrid w:val="0"/>
        <w:spacing w:line="360" w:lineRule="auto"/>
        <w:rPr>
          <w:rFonts w:ascii="仿宋_GB2312" w:eastAsia="仿宋_GB2312" w:hAnsiTheme="majorEastAsia" w:cstheme="majorEastAsia"/>
          <w:sz w:val="32"/>
          <w:szCs w:val="32"/>
        </w:rPr>
      </w:pPr>
      <w:r w:rsidRPr="00744653">
        <w:rPr>
          <w:rFonts w:ascii="仿宋_GB2312" w:eastAsia="仿宋_GB2312" w:hAnsiTheme="majorEastAsia" w:cstheme="majorEastAsia" w:hint="eastAsia"/>
          <w:sz w:val="32"/>
          <w:szCs w:val="32"/>
        </w:rPr>
        <w:t>【摘要】2016年，我们有幸参与了浦东新区畜禽退养项目的评估工作，畜禽退养评估与常见的协议征收、减量化评估既有共同点又有很大的区别，本文就此次项目评估中所取得的经验教训作一些初略的探讨和总结。</w:t>
      </w:r>
    </w:p>
    <w:p w:rsidR="008C34A1" w:rsidRPr="00744653" w:rsidRDefault="00940C85" w:rsidP="00744653">
      <w:pPr>
        <w:adjustRightInd w:val="0"/>
        <w:snapToGrid w:val="0"/>
        <w:spacing w:line="360" w:lineRule="auto"/>
        <w:rPr>
          <w:rFonts w:ascii="仿宋_GB2312" w:eastAsia="仿宋_GB2312" w:hAnsiTheme="majorEastAsia" w:cstheme="majorEastAsia"/>
          <w:sz w:val="32"/>
          <w:szCs w:val="32"/>
        </w:rPr>
      </w:pPr>
      <w:r w:rsidRPr="00744653">
        <w:rPr>
          <w:rFonts w:ascii="仿宋_GB2312" w:eastAsia="仿宋_GB2312" w:hAnsiTheme="majorEastAsia" w:cstheme="majorEastAsia" w:hint="eastAsia"/>
          <w:sz w:val="32"/>
          <w:szCs w:val="32"/>
        </w:rPr>
        <w:t>【关键词】畜禽退养、专用设备、专用设施</w:t>
      </w:r>
    </w:p>
    <w:p w:rsidR="008C34A1" w:rsidRPr="00744653" w:rsidRDefault="008C34A1">
      <w:pPr>
        <w:adjustRightInd w:val="0"/>
        <w:snapToGrid w:val="0"/>
        <w:spacing w:line="360" w:lineRule="auto"/>
        <w:ind w:firstLineChars="200" w:firstLine="640"/>
        <w:rPr>
          <w:rFonts w:ascii="仿宋_GB2312" w:eastAsia="仿宋_GB2312" w:hAnsiTheme="majorEastAsia" w:cstheme="majorEastAsia"/>
          <w:sz w:val="32"/>
          <w:szCs w:val="32"/>
        </w:rPr>
      </w:pPr>
    </w:p>
    <w:p w:rsidR="008C34A1" w:rsidRPr="00744653" w:rsidRDefault="00940C85">
      <w:pPr>
        <w:adjustRightInd w:val="0"/>
        <w:snapToGrid w:val="0"/>
        <w:spacing w:line="360" w:lineRule="auto"/>
        <w:ind w:firstLineChars="200" w:firstLine="643"/>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一、规模化畜禽养殖场退养评估的背景和意义</w:t>
      </w:r>
    </w:p>
    <w:p w:rsidR="008C34A1" w:rsidRPr="00744653" w:rsidRDefault="00940C85">
      <w:pPr>
        <w:adjustRightInd w:val="0"/>
        <w:snapToGrid w:val="0"/>
        <w:spacing w:line="360" w:lineRule="auto"/>
        <w:ind w:firstLineChars="200" w:firstLine="640"/>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浦东新区有很大的郊区面积，不规范畜禽</w:t>
      </w:r>
      <w:proofErr w:type="gramStart"/>
      <w:r w:rsidRPr="00744653">
        <w:rPr>
          <w:rFonts w:ascii="仿宋_GB2312" w:eastAsia="仿宋_GB2312" w:hAnsiTheme="minorEastAsia" w:cstheme="minorEastAsia" w:hint="eastAsia"/>
          <w:sz w:val="32"/>
          <w:szCs w:val="32"/>
        </w:rPr>
        <w:t>养殖面</w:t>
      </w:r>
      <w:proofErr w:type="gramEnd"/>
      <w:r w:rsidRPr="00744653">
        <w:rPr>
          <w:rFonts w:ascii="仿宋_GB2312" w:eastAsia="仿宋_GB2312" w:hAnsiTheme="minorEastAsia" w:cstheme="minorEastAsia" w:hint="eastAsia"/>
          <w:sz w:val="32"/>
          <w:szCs w:val="32"/>
        </w:rPr>
        <w:t>广量大，环境污染严重，食用畜产品安全面临挑战，有些养殖户违规饲用餐厨泔水，卫生状况极差，蚊蝇、臭味使周边居民饱受滋扰；也有的养殖户直接向周边排放污水，导致河道发黑发臭；还有人违章使用基本农田，乱搭乱建，甚至不顾法律规定，违规使用药物、饲料和饲料添加剂，对食用畜产品安全构成严重隐患，这些不规范、不文明的养殖行为不仅直接危害着养殖业自身的安全，还危害着广大群众的身体健康，更严重影响着浦东新区新农村建设的进程与形象。浦东畜牧业从2010年开始开展治理不规范养殖工作，经过6年左右治</w:t>
      </w:r>
      <w:r w:rsidRPr="00744653">
        <w:rPr>
          <w:rFonts w:ascii="仿宋_GB2312" w:eastAsia="仿宋_GB2312" w:hAnsiTheme="minorEastAsia" w:cstheme="minorEastAsia" w:hint="eastAsia"/>
          <w:sz w:val="32"/>
          <w:szCs w:val="32"/>
        </w:rPr>
        <w:lastRenderedPageBreak/>
        <w:t>理，全区关闭不规范畜禽养殖户3200多家，大大改善了治理地区的环境状况。2016年开始，浦东启动畜禽退养工作，从治理到退养，浦东的畜牧业在转型，对区内规模畜禽场开展有计划、分步骤减量退养及布局调整，很多养殖场处于主要交通干道、水源地、居民居住区旁，与浦东新区社会经济发展及创建生态城市的要求不相匹配，为加强养殖业发展和环境保护，消除畜禽生产对环境质量带来的负担，推进浦东生态城市建设，对新区畜禽留存量进行减量，以建设生态城市为目标，以“不养少养”加强生态保护、合理产业布局，建设美丽乡村为要求，对规模畜禽场开展调整，仅保留高端种源、高科技、标准化、生态化设施并与居民区保持适宜距离，全区畜禽养殖总量将从75.6万头标准猪减量至17.2万头标准猪，复垦耕地约3200亩。通过畜牧业的转型升级来优化人居环境、转变农村生产方式和生活方式，调整养殖布局，确保食品安全。</w:t>
      </w:r>
    </w:p>
    <w:p w:rsidR="008C34A1" w:rsidRPr="00744653" w:rsidRDefault="00940C85" w:rsidP="00744653">
      <w:pPr>
        <w:adjustRightInd w:val="0"/>
        <w:snapToGrid w:val="0"/>
        <w:spacing w:line="360" w:lineRule="auto"/>
        <w:ind w:firstLineChars="200" w:firstLine="643"/>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二、前期介入</w:t>
      </w:r>
    </w:p>
    <w:p w:rsidR="008C34A1" w:rsidRPr="00744653" w:rsidRDefault="00940C85">
      <w:pPr>
        <w:adjustRightInd w:val="0"/>
        <w:snapToGrid w:val="0"/>
        <w:spacing w:line="360" w:lineRule="auto"/>
        <w:ind w:firstLine="555"/>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规模化畜禽养殖场退养评估工作不同于一般意义上的房地产估价，由于存在养殖场建筑、设施、设备、物资呈现多样化、复杂化、非标化等客观情况，各个养殖行业之间差异很大，如何顺利推进整个退养评估工作呢？为此，我们在未正式参与项目之前就免费提供了相关的调查和咨询服务，在大量的调查研究、类似养殖场实地考察的基础上，结合长期</w:t>
      </w:r>
      <w:r w:rsidRPr="00744653">
        <w:rPr>
          <w:rFonts w:ascii="仿宋_GB2312" w:eastAsia="仿宋_GB2312" w:hAnsiTheme="minorEastAsia" w:cstheme="minorEastAsia" w:hint="eastAsia"/>
          <w:sz w:val="32"/>
          <w:szCs w:val="32"/>
        </w:rPr>
        <w:lastRenderedPageBreak/>
        <w:t>动迁评估积累的经验教训，提出了很多建设性的意见，从退养工作全过程角度制定出一套有针对性的工作流程和技术操作规范和标准，在若干次考察后，我们提出的方案和对整个退养评估的整体认识程度和解决对方提出的难点、棘手问题的能力得到了的认可。如果在一开始没有进行大量先期调查研究，不能针对性的发现问题，不能跟上客户的思路和需求，为客户提供有建设性的专业意见，很可能在一开始就被市场所淘汰。事后我们还看到了一些欣慰的现象，就是我们在</w:t>
      </w:r>
      <w:proofErr w:type="gramStart"/>
      <w:r w:rsidRPr="00744653">
        <w:rPr>
          <w:rFonts w:ascii="仿宋_GB2312" w:eastAsia="仿宋_GB2312" w:hAnsiTheme="minorEastAsia" w:cstheme="minorEastAsia" w:hint="eastAsia"/>
          <w:sz w:val="32"/>
          <w:szCs w:val="32"/>
        </w:rPr>
        <w:t>前期提出</w:t>
      </w:r>
      <w:proofErr w:type="gramEnd"/>
      <w:r w:rsidRPr="00744653">
        <w:rPr>
          <w:rFonts w:ascii="仿宋_GB2312" w:eastAsia="仿宋_GB2312" w:hAnsiTheme="minorEastAsia" w:cstheme="minorEastAsia" w:hint="eastAsia"/>
          <w:sz w:val="32"/>
          <w:szCs w:val="32"/>
        </w:rPr>
        <w:t>的大量想法和建议，很多部分后来由委托方修改后编入了有关部门的《工作指南》中。</w:t>
      </w:r>
    </w:p>
    <w:p w:rsidR="008C34A1" w:rsidRPr="00744653" w:rsidRDefault="00940C85" w:rsidP="00744653">
      <w:pPr>
        <w:adjustRightInd w:val="0"/>
        <w:snapToGrid w:val="0"/>
        <w:spacing w:line="360" w:lineRule="auto"/>
        <w:ind w:firstLineChars="200" w:firstLine="643"/>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三、先期锁定</w:t>
      </w:r>
    </w:p>
    <w:p w:rsidR="008C34A1" w:rsidRPr="00744653" w:rsidRDefault="00940C85">
      <w:pPr>
        <w:adjustRightInd w:val="0"/>
        <w:snapToGrid w:val="0"/>
        <w:spacing w:line="360" w:lineRule="auto"/>
        <w:ind w:firstLine="560"/>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在评估之前先期采取数量锁定的方式，包括对建筑物、附属设施、物资、畜禽数量、类别、青饲料、产品（如蛋、奶）按某个基准日予以锁定，锁定后增加的设施和物资不纳入评估和补偿范围，避免出现突击和恶意搬迁、增加项目的情况出现，为控制整个项目的资金成本把好第一道关。锁定工作另一个作用是前期摸底，在锁定整个数量后，就可以大致估算出整个项目的资金需求总量，由于项目资金有限，通过前期锁定后的估算出的资金缺口，也为各个镇确定需要配套的资金作参考。</w:t>
      </w:r>
    </w:p>
    <w:p w:rsidR="008C34A1" w:rsidRPr="00744653" w:rsidRDefault="00940C85" w:rsidP="00744653">
      <w:pPr>
        <w:adjustRightInd w:val="0"/>
        <w:snapToGrid w:val="0"/>
        <w:spacing w:line="360" w:lineRule="auto"/>
        <w:ind w:firstLineChars="200" w:firstLine="643"/>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四、</w:t>
      </w:r>
      <w:proofErr w:type="gramStart"/>
      <w:r w:rsidRPr="00744653">
        <w:rPr>
          <w:rFonts w:ascii="仿宋_GB2312" w:eastAsia="仿宋_GB2312" w:hAnsiTheme="majorEastAsia" w:cstheme="majorEastAsia" w:hint="eastAsia"/>
          <w:b/>
          <w:bCs/>
          <w:sz w:val="32"/>
          <w:szCs w:val="32"/>
        </w:rPr>
        <w:t>退养户</w:t>
      </w:r>
      <w:proofErr w:type="gramEnd"/>
      <w:r w:rsidRPr="00744653">
        <w:rPr>
          <w:rFonts w:ascii="仿宋_GB2312" w:eastAsia="仿宋_GB2312" w:hAnsiTheme="majorEastAsia" w:cstheme="majorEastAsia" w:hint="eastAsia"/>
          <w:b/>
          <w:bCs/>
          <w:sz w:val="32"/>
          <w:szCs w:val="32"/>
        </w:rPr>
        <w:t>的心态各有不同</w:t>
      </w:r>
    </w:p>
    <w:p w:rsidR="008C34A1" w:rsidRPr="00744653" w:rsidRDefault="00940C85">
      <w:pPr>
        <w:adjustRightInd w:val="0"/>
        <w:snapToGrid w:val="0"/>
        <w:spacing w:line="360" w:lineRule="auto"/>
        <w:ind w:firstLine="560"/>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在正式评估工作开展后，我们很快会发现，各个养殖行</w:t>
      </w:r>
      <w:r w:rsidRPr="00744653">
        <w:rPr>
          <w:rFonts w:ascii="仿宋_GB2312" w:eastAsia="仿宋_GB2312" w:hAnsiTheme="minorEastAsia" w:cstheme="minorEastAsia" w:hint="eastAsia"/>
          <w:sz w:val="32"/>
          <w:szCs w:val="32"/>
        </w:rPr>
        <w:lastRenderedPageBreak/>
        <w:t>业的退养业主对待退养工作的配合态度是不同的，因为众所周知的原因，在2016年，养猪行业几乎是暴利行业，行情最好的时候每头猪的利润可以达到惊人的1000元，养殖户简直就是日进斗金，在这种情况下，养殖户有抵触情况，要他积极配合工作，不仅要通过政策宣讲，阐明退养工作对整个浦东发展、生态、环境保护的意义，也要在具体评估工作中有理有节，仔细、专业、耐心解释，消除其疑虑和不解，有时候我们开玩笑说遇到不配合的被评估对象，评估人员还要承担一个类似“心理疏导员”的角色，从现场踏勘进门时的抵触、怀疑，到踏勘结束时的相互理解和信任，需要我们评估师对整个项目的政策、背景、从养殖</w:t>
      </w:r>
      <w:proofErr w:type="gramStart"/>
      <w:r w:rsidRPr="00744653">
        <w:rPr>
          <w:rFonts w:ascii="仿宋_GB2312" w:eastAsia="仿宋_GB2312" w:hAnsiTheme="minorEastAsia" w:cstheme="minorEastAsia" w:hint="eastAsia"/>
          <w:sz w:val="32"/>
          <w:szCs w:val="32"/>
        </w:rPr>
        <w:t>户角度</w:t>
      </w:r>
      <w:proofErr w:type="gramEnd"/>
      <w:r w:rsidRPr="00744653">
        <w:rPr>
          <w:rFonts w:ascii="仿宋_GB2312" w:eastAsia="仿宋_GB2312" w:hAnsiTheme="minorEastAsia" w:cstheme="minorEastAsia" w:hint="eastAsia"/>
          <w:sz w:val="32"/>
          <w:szCs w:val="32"/>
        </w:rPr>
        <w:t>的分析的利弊都要清楚，被评估人会在现场提出各种各样的问题，随时等待我们专业的回答，如果一味敷衍，显然是不负责任的。评估师要在各个环节对相关方都表现出专业、负责、有执业能力和精神。</w:t>
      </w:r>
    </w:p>
    <w:p w:rsidR="008C34A1" w:rsidRPr="00744653" w:rsidRDefault="00940C85" w:rsidP="00744653">
      <w:pPr>
        <w:adjustRightInd w:val="0"/>
        <w:snapToGrid w:val="0"/>
        <w:spacing w:line="360" w:lineRule="auto"/>
        <w:ind w:firstLineChars="200" w:firstLine="643"/>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五、评估师的专业精神、吃苦精神在本项目中充分体现</w:t>
      </w:r>
    </w:p>
    <w:p w:rsidR="008C34A1" w:rsidRPr="00744653" w:rsidRDefault="00940C85">
      <w:pPr>
        <w:adjustRightInd w:val="0"/>
        <w:snapToGrid w:val="0"/>
        <w:spacing w:line="360" w:lineRule="auto"/>
        <w:ind w:firstLine="560"/>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作为评估师，我们既要评估高楼大厦、高档住宅、土地价值、企业价值评估等高大上的对象，也要评估类似畜禽退养这种脏、臭、累的接地气的对象，一个阳春白雪，一个下里巴人，都是我们评估师需要用专业精神平等对待的。畜禽养殖场虽然都是规范养殖，但实际情况还是远远超出我们的想象，特别是女评估师，也要战斗在一线，特别不容易，克</w:t>
      </w:r>
      <w:r w:rsidRPr="00744653">
        <w:rPr>
          <w:rFonts w:ascii="仿宋_GB2312" w:eastAsia="仿宋_GB2312" w:hAnsiTheme="minorEastAsia" w:cstheme="minorEastAsia" w:hint="eastAsia"/>
          <w:sz w:val="32"/>
          <w:szCs w:val="32"/>
        </w:rPr>
        <w:lastRenderedPageBreak/>
        <w:t>服一系列困难；比如高温时还要穿上防护服，畜禽的粪便会溅到你身上，</w:t>
      </w:r>
      <w:proofErr w:type="gramStart"/>
      <w:r w:rsidRPr="00744653">
        <w:rPr>
          <w:rFonts w:ascii="仿宋_GB2312" w:eastAsia="仿宋_GB2312" w:hAnsiTheme="minorEastAsia" w:cstheme="minorEastAsia" w:hint="eastAsia"/>
          <w:sz w:val="32"/>
          <w:szCs w:val="32"/>
        </w:rPr>
        <w:t>棚内及堆粪场</w:t>
      </w:r>
      <w:proofErr w:type="gramEnd"/>
      <w:r w:rsidRPr="00744653">
        <w:rPr>
          <w:rFonts w:ascii="仿宋_GB2312" w:eastAsia="仿宋_GB2312" w:hAnsiTheme="minorEastAsia" w:cstheme="minorEastAsia" w:hint="eastAsia"/>
          <w:sz w:val="32"/>
          <w:szCs w:val="32"/>
        </w:rPr>
        <w:t>会不可避免的恶臭，蚊虫还是会大量存在叮咬，整个工作环境还是很恶劣的，用语言其实是不足以表达的，经常发生现场踏勘完就把鞋子扔掉的情况。</w:t>
      </w:r>
    </w:p>
    <w:p w:rsidR="008C34A1" w:rsidRPr="00744653" w:rsidRDefault="00940C85" w:rsidP="00744653">
      <w:pPr>
        <w:adjustRightInd w:val="0"/>
        <w:snapToGrid w:val="0"/>
        <w:spacing w:line="360" w:lineRule="auto"/>
        <w:ind w:firstLineChars="200" w:firstLine="643"/>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六、评估标准、技术上的一些</w:t>
      </w:r>
      <w:proofErr w:type="gramStart"/>
      <w:r w:rsidRPr="00744653">
        <w:rPr>
          <w:rFonts w:ascii="仿宋_GB2312" w:eastAsia="仿宋_GB2312" w:hAnsiTheme="majorEastAsia" w:cstheme="majorEastAsia" w:hint="eastAsia"/>
          <w:b/>
          <w:bCs/>
          <w:sz w:val="32"/>
          <w:szCs w:val="32"/>
        </w:rPr>
        <w:t>考量</w:t>
      </w:r>
      <w:proofErr w:type="gramEnd"/>
      <w:r w:rsidRPr="00744653">
        <w:rPr>
          <w:rFonts w:ascii="仿宋_GB2312" w:eastAsia="仿宋_GB2312" w:hAnsiTheme="majorEastAsia" w:cstheme="majorEastAsia" w:hint="eastAsia"/>
          <w:b/>
          <w:bCs/>
          <w:sz w:val="32"/>
          <w:szCs w:val="32"/>
        </w:rPr>
        <w:t>和罗列</w:t>
      </w:r>
    </w:p>
    <w:p w:rsidR="008C34A1" w:rsidRPr="00744653" w:rsidRDefault="00744653" w:rsidP="00744653">
      <w:pPr>
        <w:adjustRightInd w:val="0"/>
        <w:snapToGrid w:val="0"/>
        <w:spacing w:line="360" w:lineRule="auto"/>
        <w:ind w:firstLineChars="100" w:firstLine="321"/>
        <w:rPr>
          <w:rFonts w:ascii="仿宋_GB2312" w:eastAsia="仿宋_GB2312" w:hAnsiTheme="majorEastAsia" w:cstheme="majorEastAsia"/>
          <w:b/>
          <w:bCs/>
          <w:sz w:val="32"/>
          <w:szCs w:val="32"/>
        </w:rPr>
      </w:pPr>
      <w:r>
        <w:rPr>
          <w:rFonts w:ascii="仿宋_GB2312" w:eastAsia="仿宋_GB2312" w:hAnsiTheme="majorEastAsia" w:cstheme="majorEastAsia" w:hint="eastAsia"/>
          <w:b/>
          <w:bCs/>
          <w:sz w:val="32"/>
          <w:szCs w:val="32"/>
        </w:rPr>
        <w:t>（一）</w:t>
      </w:r>
      <w:r w:rsidR="00940C85" w:rsidRPr="00744653">
        <w:rPr>
          <w:rFonts w:ascii="仿宋_GB2312" w:eastAsia="仿宋_GB2312" w:hAnsiTheme="majorEastAsia" w:cstheme="majorEastAsia" w:hint="eastAsia"/>
          <w:b/>
          <w:bCs/>
          <w:sz w:val="32"/>
          <w:szCs w:val="32"/>
        </w:rPr>
        <w:t>相关标准</w:t>
      </w:r>
    </w:p>
    <w:p w:rsidR="008C34A1" w:rsidRPr="00744653" w:rsidRDefault="00940C85">
      <w:pPr>
        <w:adjustRightInd w:val="0"/>
        <w:snapToGrid w:val="0"/>
        <w:spacing w:line="360" w:lineRule="auto"/>
        <w:ind w:firstLine="560"/>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由于畜禽行业的特殊性，畜禽跨区流动有很大的限制，几乎不大可能异地流通，比如奶牛在此次退养后，由于异地接收有难度，几乎都由外地商人低价收购后作为肉牛处理，还有很多养殖企业关闭后就彻底离开了养殖行业，在上海本地再在他处养殖几乎是不可能的，而远离家乡到外地养殖大多数也不愿意，因此，本次评估我们对专业</w:t>
      </w:r>
      <w:proofErr w:type="gramStart"/>
      <w:r w:rsidRPr="00744653">
        <w:rPr>
          <w:rFonts w:ascii="仿宋_GB2312" w:eastAsia="仿宋_GB2312" w:hAnsiTheme="minorEastAsia" w:cstheme="minorEastAsia" w:hint="eastAsia"/>
          <w:sz w:val="32"/>
          <w:szCs w:val="32"/>
        </w:rPr>
        <w:t>性设备</w:t>
      </w:r>
      <w:proofErr w:type="gramEnd"/>
      <w:r w:rsidRPr="00744653">
        <w:rPr>
          <w:rFonts w:ascii="仿宋_GB2312" w:eastAsia="仿宋_GB2312" w:hAnsiTheme="minorEastAsia" w:cstheme="minorEastAsia" w:hint="eastAsia"/>
          <w:sz w:val="32"/>
          <w:szCs w:val="32"/>
        </w:rPr>
        <w:t>设施采用关闭类标准，即按重置价格结合成新率确定评估值。</w:t>
      </w:r>
    </w:p>
    <w:p w:rsidR="008C34A1" w:rsidRPr="00744653" w:rsidRDefault="00744653" w:rsidP="00744653">
      <w:pPr>
        <w:adjustRightInd w:val="0"/>
        <w:snapToGrid w:val="0"/>
        <w:spacing w:line="360" w:lineRule="auto"/>
        <w:ind w:firstLineChars="100" w:firstLine="321"/>
        <w:rPr>
          <w:rFonts w:ascii="仿宋_GB2312" w:eastAsia="仿宋_GB2312" w:hAnsiTheme="majorEastAsia" w:cstheme="majorEastAsia"/>
          <w:b/>
          <w:bCs/>
          <w:sz w:val="32"/>
          <w:szCs w:val="32"/>
        </w:rPr>
      </w:pPr>
      <w:r>
        <w:rPr>
          <w:rFonts w:ascii="仿宋_GB2312" w:eastAsia="仿宋_GB2312" w:hAnsiTheme="majorEastAsia" w:cstheme="majorEastAsia" w:hint="eastAsia"/>
          <w:b/>
          <w:bCs/>
          <w:sz w:val="32"/>
          <w:szCs w:val="32"/>
        </w:rPr>
        <w:t>（二）</w:t>
      </w:r>
      <w:r w:rsidR="00940C85" w:rsidRPr="00744653">
        <w:rPr>
          <w:rFonts w:ascii="仿宋_GB2312" w:eastAsia="仿宋_GB2312" w:hAnsiTheme="majorEastAsia" w:cstheme="majorEastAsia" w:hint="eastAsia"/>
          <w:b/>
          <w:bCs/>
          <w:sz w:val="32"/>
          <w:szCs w:val="32"/>
        </w:rPr>
        <w:t>政府财力投资的设施的评估</w:t>
      </w:r>
    </w:p>
    <w:p w:rsidR="008C34A1" w:rsidRPr="00744653" w:rsidRDefault="00940C85">
      <w:pPr>
        <w:adjustRightInd w:val="0"/>
        <w:snapToGrid w:val="0"/>
        <w:spacing w:line="360" w:lineRule="auto"/>
        <w:ind w:firstLine="560"/>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为了促进环境保护，政府对各场都配套投入了一些污水处理和沼气发电等项目，根据相关规定，这些项目如果使用超过10年，产权自动归养殖户所有，评估实践中有些项目使用未到10年，就要对属于政府配套投入相对应的那部分权益在评估结果中按年限予以扣除。</w:t>
      </w:r>
    </w:p>
    <w:p w:rsidR="008C34A1" w:rsidRPr="00744653" w:rsidRDefault="00744653" w:rsidP="00744653">
      <w:pPr>
        <w:adjustRightInd w:val="0"/>
        <w:snapToGrid w:val="0"/>
        <w:spacing w:line="360" w:lineRule="auto"/>
        <w:ind w:firstLineChars="100" w:firstLine="321"/>
        <w:rPr>
          <w:rFonts w:ascii="仿宋_GB2312" w:eastAsia="仿宋_GB2312" w:hAnsiTheme="majorEastAsia" w:cstheme="majorEastAsia"/>
          <w:b/>
          <w:bCs/>
          <w:sz w:val="32"/>
          <w:szCs w:val="32"/>
        </w:rPr>
      </w:pPr>
      <w:r>
        <w:rPr>
          <w:rFonts w:ascii="仿宋_GB2312" w:eastAsia="仿宋_GB2312" w:hAnsiTheme="majorEastAsia" w:cstheme="majorEastAsia" w:hint="eastAsia"/>
          <w:b/>
          <w:bCs/>
          <w:sz w:val="32"/>
          <w:szCs w:val="32"/>
        </w:rPr>
        <w:t>（三）</w:t>
      </w:r>
      <w:r w:rsidR="00940C85" w:rsidRPr="00744653">
        <w:rPr>
          <w:rFonts w:ascii="仿宋_GB2312" w:eastAsia="仿宋_GB2312" w:hAnsiTheme="majorEastAsia" w:cstheme="majorEastAsia" w:hint="eastAsia"/>
          <w:b/>
          <w:bCs/>
          <w:sz w:val="32"/>
          <w:szCs w:val="32"/>
        </w:rPr>
        <w:t>无形资产评估</w:t>
      </w:r>
    </w:p>
    <w:p w:rsidR="008C34A1" w:rsidRPr="00744653" w:rsidRDefault="00940C85">
      <w:pPr>
        <w:adjustRightInd w:val="0"/>
        <w:snapToGrid w:val="0"/>
        <w:spacing w:line="360" w:lineRule="auto"/>
        <w:rPr>
          <w:rFonts w:ascii="仿宋_GB2312" w:eastAsia="仿宋_GB2312" w:hAnsiTheme="minorEastAsia" w:cstheme="minorEastAsia"/>
          <w:sz w:val="32"/>
          <w:szCs w:val="32"/>
        </w:rPr>
      </w:pPr>
      <w:r w:rsidRPr="00744653">
        <w:rPr>
          <w:rFonts w:ascii="仿宋_GB2312" w:eastAsia="仿宋_GB2312" w:hAnsiTheme="majorEastAsia" w:cstheme="majorEastAsia" w:hint="eastAsia"/>
          <w:sz w:val="32"/>
          <w:szCs w:val="32"/>
        </w:rPr>
        <w:t xml:space="preserve"> </w:t>
      </w:r>
      <w:r w:rsidRPr="00744653">
        <w:rPr>
          <w:rFonts w:ascii="仿宋_GB2312" w:eastAsia="仿宋_GB2312" w:hAnsiTheme="minorEastAsia" w:cstheme="minorEastAsia" w:hint="eastAsia"/>
          <w:sz w:val="32"/>
          <w:szCs w:val="32"/>
        </w:rPr>
        <w:t xml:space="preserve">   在评估过程中，有些养殖户提出了无形资产评估的要求，因为其产品有在上海地方上有一些品牌知名度。我们经过研</w:t>
      </w:r>
      <w:r w:rsidRPr="00744653">
        <w:rPr>
          <w:rFonts w:ascii="仿宋_GB2312" w:eastAsia="仿宋_GB2312" w:hAnsiTheme="minorEastAsia" w:cstheme="minorEastAsia" w:hint="eastAsia"/>
          <w:sz w:val="32"/>
          <w:szCs w:val="32"/>
        </w:rPr>
        <w:lastRenderedPageBreak/>
        <w:t>究发现：第一，每个规模养殖场其实都有自己的品牌，也都有一定范围的知名度，如果只为个别企业评估品牌价值，存在不公平现象；第二，有品牌的养殖户一般都另有商业流通企业配套，其品牌往往属于其流通企业，而退养后其商业流通企业受影响不大，通过调查我们发现，很多企业本身现状就是通过大量从外省流通畜禽产品维持自己的品牌，品牌自给率并不高；第三，通过市场价格调查，我们发现有品牌的企业的产品并没有在价格上有明显的大优势，综合考虑，最终并未将品牌资产纳入评估范围。当然这部分还是值得探讨和商榷的。</w:t>
      </w:r>
    </w:p>
    <w:p w:rsidR="008C34A1" w:rsidRPr="00744653" w:rsidRDefault="00940C85">
      <w:pPr>
        <w:adjustRightInd w:val="0"/>
        <w:snapToGrid w:val="0"/>
        <w:spacing w:line="360" w:lineRule="auto"/>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（四）、按养殖对象进行评估分类</w:t>
      </w:r>
    </w:p>
    <w:p w:rsidR="008C34A1" w:rsidRPr="00744653" w:rsidRDefault="00940C85">
      <w:pPr>
        <w:adjustRightInd w:val="0"/>
        <w:snapToGrid w:val="0"/>
        <w:spacing w:line="360" w:lineRule="auto"/>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 xml:space="preserve">    按养殖对象分类主要可分为奶牛养殖场、猪养殖场、蛋（鸭）鸡养殖场、种鸽养殖场。</w:t>
      </w:r>
    </w:p>
    <w:p w:rsidR="008C34A1" w:rsidRPr="00744653" w:rsidRDefault="00940C85">
      <w:pPr>
        <w:adjustRightInd w:val="0"/>
        <w:snapToGrid w:val="0"/>
        <w:spacing w:line="360" w:lineRule="auto"/>
        <w:rPr>
          <w:rFonts w:ascii="仿宋_GB2312" w:eastAsia="仿宋_GB2312" w:hAnsiTheme="majorEastAsia" w:cstheme="majorEastAsia"/>
          <w:b/>
          <w:bCs/>
          <w:sz w:val="32"/>
          <w:szCs w:val="32"/>
        </w:rPr>
      </w:pPr>
      <w:r w:rsidRPr="00744653">
        <w:rPr>
          <w:rFonts w:ascii="仿宋_GB2312" w:eastAsia="仿宋_GB2312" w:hAnsiTheme="majorEastAsia" w:cstheme="majorEastAsia" w:hint="eastAsia"/>
          <w:b/>
          <w:bCs/>
          <w:sz w:val="32"/>
          <w:szCs w:val="32"/>
        </w:rPr>
        <w:t>（五）、</w:t>
      </w:r>
      <w:proofErr w:type="gramStart"/>
      <w:r w:rsidRPr="00744653">
        <w:rPr>
          <w:rFonts w:ascii="仿宋_GB2312" w:eastAsia="仿宋_GB2312" w:hAnsiTheme="majorEastAsia" w:cstheme="majorEastAsia" w:hint="eastAsia"/>
          <w:b/>
          <w:bCs/>
          <w:sz w:val="32"/>
          <w:szCs w:val="32"/>
        </w:rPr>
        <w:t>按设施</w:t>
      </w:r>
      <w:proofErr w:type="gramEnd"/>
      <w:r w:rsidRPr="00744653">
        <w:rPr>
          <w:rFonts w:ascii="仿宋_GB2312" w:eastAsia="仿宋_GB2312" w:hAnsiTheme="majorEastAsia" w:cstheme="majorEastAsia" w:hint="eastAsia"/>
          <w:b/>
          <w:bCs/>
          <w:sz w:val="32"/>
          <w:szCs w:val="32"/>
        </w:rPr>
        <w:t>分类</w:t>
      </w:r>
    </w:p>
    <w:p w:rsidR="008C34A1" w:rsidRPr="00744653" w:rsidRDefault="00940C85">
      <w:pPr>
        <w:adjustRightInd w:val="0"/>
        <w:snapToGrid w:val="0"/>
        <w:spacing w:line="360" w:lineRule="auto"/>
        <w:rPr>
          <w:rFonts w:ascii="仿宋_GB2312" w:eastAsia="仿宋_GB2312" w:hAnsiTheme="minorEastAsia" w:cstheme="minorEastAsia"/>
          <w:sz w:val="32"/>
          <w:szCs w:val="32"/>
        </w:rPr>
      </w:pPr>
      <w:r w:rsidRPr="00744653">
        <w:rPr>
          <w:rFonts w:ascii="仿宋_GB2312" w:eastAsia="仿宋_GB2312" w:hAnsiTheme="minorEastAsia" w:cstheme="minorEastAsia" w:hint="eastAsia"/>
          <w:sz w:val="32"/>
          <w:szCs w:val="32"/>
        </w:rPr>
        <w:t xml:space="preserve">    </w:t>
      </w:r>
      <w:proofErr w:type="gramStart"/>
      <w:r w:rsidRPr="00744653">
        <w:rPr>
          <w:rFonts w:ascii="仿宋_GB2312" w:eastAsia="仿宋_GB2312" w:hAnsiTheme="minorEastAsia" w:cstheme="minorEastAsia" w:hint="eastAsia"/>
          <w:sz w:val="32"/>
          <w:szCs w:val="32"/>
        </w:rPr>
        <w:t>按设施</w:t>
      </w:r>
      <w:proofErr w:type="gramEnd"/>
      <w:r w:rsidRPr="00744653">
        <w:rPr>
          <w:rFonts w:ascii="仿宋_GB2312" w:eastAsia="仿宋_GB2312" w:hAnsiTheme="minorEastAsia" w:cstheme="minorEastAsia" w:hint="eastAsia"/>
          <w:sz w:val="32"/>
          <w:szCs w:val="32"/>
        </w:rPr>
        <w:t>分类可分为建筑物、构筑物、装修装潢、附属设施、不易恢复使用的设备、易恢复设备、畜牧业专用设备、物资搬迁类。</w:t>
      </w:r>
    </w:p>
    <w:p w:rsidR="008C34A1" w:rsidRPr="00744653" w:rsidRDefault="00940C85">
      <w:pPr>
        <w:adjustRightInd w:val="0"/>
        <w:snapToGrid w:val="0"/>
        <w:spacing w:line="360" w:lineRule="auto"/>
        <w:rPr>
          <w:rFonts w:ascii="仿宋_GB2312" w:eastAsia="仿宋_GB2312" w:hAnsiTheme="majorEastAsia" w:cstheme="majorEastAsia"/>
          <w:sz w:val="32"/>
          <w:szCs w:val="32"/>
        </w:rPr>
      </w:pPr>
      <w:r w:rsidRPr="00744653">
        <w:rPr>
          <w:rFonts w:ascii="仿宋_GB2312" w:eastAsia="仿宋_GB2312" w:hAnsiTheme="majorEastAsia" w:cstheme="majorEastAsia" w:hint="eastAsia"/>
          <w:b/>
          <w:bCs/>
          <w:sz w:val="32"/>
          <w:szCs w:val="32"/>
        </w:rPr>
        <w:t>（六）、评估价值标准</w:t>
      </w:r>
    </w:p>
    <w:p w:rsidR="008C34A1" w:rsidRPr="00744653" w:rsidRDefault="00940C85">
      <w:pPr>
        <w:adjustRightInd w:val="0"/>
        <w:snapToGrid w:val="0"/>
        <w:spacing w:line="360" w:lineRule="auto"/>
        <w:ind w:firstLineChars="200" w:firstLine="640"/>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sz w:val="32"/>
          <w:szCs w:val="32"/>
        </w:rPr>
        <w:t>1、规模化畜禽养殖退养的最大特点就是被</w:t>
      </w:r>
      <w:proofErr w:type="gramStart"/>
      <w:r w:rsidRPr="00744653">
        <w:rPr>
          <w:rFonts w:ascii="仿宋_GB2312" w:eastAsia="仿宋_GB2312" w:hAnsiTheme="minorEastAsia" w:cstheme="minorEastAsia" w:hint="eastAsia"/>
          <w:sz w:val="32"/>
          <w:szCs w:val="32"/>
        </w:rPr>
        <w:t>退养场</w:t>
      </w:r>
      <w:proofErr w:type="gramEnd"/>
      <w:r w:rsidRPr="00744653">
        <w:rPr>
          <w:rFonts w:ascii="仿宋_GB2312" w:eastAsia="仿宋_GB2312" w:hAnsiTheme="minorEastAsia" w:cstheme="minorEastAsia" w:hint="eastAsia"/>
          <w:sz w:val="32"/>
          <w:szCs w:val="32"/>
        </w:rPr>
        <w:t>一律采取关闭形式，所以在评估标准上，都采用补偿费的价值定义，即</w:t>
      </w:r>
      <w:r w:rsidRPr="00744653">
        <w:rPr>
          <w:rFonts w:ascii="仿宋_GB2312" w:eastAsia="仿宋_GB2312" w:hAnsiTheme="minorEastAsia" w:cstheme="minorEastAsia" w:hint="eastAsia"/>
          <w:color w:val="000000"/>
          <w:sz w:val="32"/>
          <w:szCs w:val="32"/>
        </w:rPr>
        <w:t>：①建筑物、生产附属设施（围墙、场地、道路、下水道、水池等）、不易恢复使用的设备、畜牧业专用设备按</w:t>
      </w:r>
      <w:r w:rsidRPr="00744653">
        <w:rPr>
          <w:rFonts w:ascii="仿宋_GB2312" w:eastAsia="仿宋_GB2312" w:hAnsiTheme="minorEastAsia" w:cstheme="minorEastAsia" w:hint="eastAsia"/>
          <w:color w:val="000000"/>
          <w:sz w:val="32"/>
          <w:szCs w:val="32"/>
        </w:rPr>
        <w:lastRenderedPageBreak/>
        <w:t>重置</w:t>
      </w:r>
      <w:proofErr w:type="gramStart"/>
      <w:r w:rsidRPr="00744653">
        <w:rPr>
          <w:rFonts w:ascii="仿宋_GB2312" w:eastAsia="仿宋_GB2312" w:hAnsiTheme="minorEastAsia" w:cstheme="minorEastAsia" w:hint="eastAsia"/>
          <w:color w:val="000000"/>
          <w:sz w:val="32"/>
          <w:szCs w:val="32"/>
        </w:rPr>
        <w:t>价结合</w:t>
      </w:r>
      <w:proofErr w:type="gramEnd"/>
      <w:r w:rsidRPr="00744653">
        <w:rPr>
          <w:rFonts w:ascii="仿宋_GB2312" w:eastAsia="仿宋_GB2312" w:hAnsiTheme="minorEastAsia" w:cstheme="minorEastAsia" w:hint="eastAsia"/>
          <w:color w:val="000000"/>
          <w:sz w:val="32"/>
          <w:szCs w:val="32"/>
        </w:rPr>
        <w:t>成新进行评估；②易恢复使用的设备、物资、绿化苗木按搬迁价进行评估；③低值、易耗设备按残值评估。</w:t>
      </w:r>
    </w:p>
    <w:p w:rsidR="008C34A1" w:rsidRPr="00744653" w:rsidRDefault="00940C85">
      <w:pPr>
        <w:adjustRightInd w:val="0"/>
        <w:snapToGrid w:val="0"/>
        <w:spacing w:line="360" w:lineRule="auto"/>
        <w:ind w:firstLineChars="200" w:firstLine="640"/>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2、养殖用房屋的使用寿命：钢筋混凝土结构房屋按50年，砖混结构为30年，简易类房屋按10年。改建和翻建房屋使用年限以改建、翻建竣工之日起计算，并经人民政府审核认可。</w:t>
      </w:r>
    </w:p>
    <w:p w:rsidR="008C34A1" w:rsidRPr="00744653" w:rsidRDefault="00940C85">
      <w:pPr>
        <w:adjustRightInd w:val="0"/>
        <w:snapToGrid w:val="0"/>
        <w:spacing w:line="360" w:lineRule="auto"/>
        <w:ind w:firstLineChars="200" w:firstLine="640"/>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3、生产附属设施使用寿命一般按20年计，特殊设施使用寿命经审核后确定。改造过的设施的使用年数以改造完工之日起算，并经镇人民政府审核认可。</w:t>
      </w:r>
    </w:p>
    <w:p w:rsidR="008C34A1" w:rsidRPr="00744653" w:rsidRDefault="00940C85">
      <w:pPr>
        <w:adjustRightInd w:val="0"/>
        <w:snapToGrid w:val="0"/>
        <w:spacing w:line="360" w:lineRule="auto"/>
        <w:ind w:firstLineChars="200" w:firstLine="640"/>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4、场外设施的评估：按污水减</w:t>
      </w:r>
      <w:proofErr w:type="gramStart"/>
      <w:r w:rsidRPr="00744653">
        <w:rPr>
          <w:rFonts w:ascii="仿宋_GB2312" w:eastAsia="仿宋_GB2312" w:hAnsiTheme="minorEastAsia" w:cstheme="minorEastAsia" w:hint="eastAsia"/>
          <w:color w:val="000000"/>
          <w:sz w:val="32"/>
          <w:szCs w:val="32"/>
        </w:rPr>
        <w:t>排要求</w:t>
      </w:r>
      <w:proofErr w:type="gramEnd"/>
      <w:r w:rsidRPr="00744653">
        <w:rPr>
          <w:rFonts w:ascii="仿宋_GB2312" w:eastAsia="仿宋_GB2312" w:hAnsiTheme="minorEastAsia" w:cstheme="minorEastAsia" w:hint="eastAsia"/>
          <w:color w:val="000000"/>
          <w:sz w:val="32"/>
          <w:szCs w:val="32"/>
        </w:rPr>
        <w:t>建设的场外污水处理系统纳入评估范围，</w:t>
      </w:r>
    </w:p>
    <w:p w:rsidR="008C34A1" w:rsidRPr="00744653" w:rsidRDefault="00940C85">
      <w:pPr>
        <w:adjustRightInd w:val="0"/>
        <w:snapToGrid w:val="0"/>
        <w:spacing w:line="360" w:lineRule="auto"/>
        <w:ind w:firstLineChars="200" w:firstLine="640"/>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5、水电用水开户、增容等费用由场方提供发票或有政府部门出具相关证明后列示。</w:t>
      </w:r>
    </w:p>
    <w:p w:rsidR="008C34A1" w:rsidRPr="00744653" w:rsidRDefault="00940C85">
      <w:pPr>
        <w:adjustRightInd w:val="0"/>
        <w:snapToGrid w:val="0"/>
        <w:spacing w:line="360" w:lineRule="auto"/>
        <w:ind w:firstLineChars="200" w:firstLine="640"/>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6、设备类评估要点：</w:t>
      </w:r>
    </w:p>
    <w:p w:rsidR="008C34A1" w:rsidRPr="00744653" w:rsidRDefault="00940C85">
      <w:pPr>
        <w:adjustRightInd w:val="0"/>
        <w:snapToGrid w:val="0"/>
        <w:spacing w:line="360" w:lineRule="auto"/>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（1）、养殖用设备一般使用寿命为10年，主要包括：饲养设备、防疫设备、粪污处理设备等。</w:t>
      </w:r>
    </w:p>
    <w:p w:rsidR="008C34A1" w:rsidRPr="00744653" w:rsidRDefault="00940C85">
      <w:pPr>
        <w:adjustRightInd w:val="0"/>
        <w:snapToGrid w:val="0"/>
        <w:spacing w:line="360" w:lineRule="auto"/>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（2）、更新设备的使用年数以更新年度起算，并经镇人民政府审核认可。</w:t>
      </w:r>
    </w:p>
    <w:p w:rsidR="008C34A1" w:rsidRPr="00744653" w:rsidRDefault="00940C85">
      <w:pPr>
        <w:adjustRightInd w:val="0"/>
        <w:snapToGrid w:val="0"/>
        <w:spacing w:line="360" w:lineRule="auto"/>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（3）、对低值、易耗设备按残值评估；对不易恢复使用的设备和畜牧业专用并</w:t>
      </w:r>
      <w:proofErr w:type="gramStart"/>
      <w:r w:rsidRPr="00744653">
        <w:rPr>
          <w:rFonts w:ascii="仿宋_GB2312" w:eastAsia="仿宋_GB2312" w:hAnsiTheme="minorEastAsia" w:cstheme="minorEastAsia" w:hint="eastAsia"/>
          <w:color w:val="000000"/>
          <w:sz w:val="32"/>
          <w:szCs w:val="32"/>
        </w:rPr>
        <w:t>无商业</w:t>
      </w:r>
      <w:proofErr w:type="gramEnd"/>
      <w:r w:rsidRPr="00744653">
        <w:rPr>
          <w:rFonts w:ascii="仿宋_GB2312" w:eastAsia="仿宋_GB2312" w:hAnsiTheme="minorEastAsia" w:cstheme="minorEastAsia" w:hint="eastAsia"/>
          <w:color w:val="000000"/>
          <w:sz w:val="32"/>
          <w:szCs w:val="32"/>
        </w:rPr>
        <w:t>流通价值的设备（如产床、饲喂用翻斗车、清粪用铲车等），按重置价格结合成新原则评估，对易恢复设备按搬迁价评估。</w:t>
      </w:r>
    </w:p>
    <w:p w:rsidR="008C34A1" w:rsidRPr="00744653" w:rsidRDefault="00940C85">
      <w:pPr>
        <w:adjustRightInd w:val="0"/>
        <w:snapToGrid w:val="0"/>
        <w:spacing w:line="360" w:lineRule="auto"/>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lastRenderedPageBreak/>
        <w:t>（4）、特殊设施、设备评估要点：特殊设施、设备是指沼气工程、发电设备、电暖（水暖）设施等。</w:t>
      </w:r>
    </w:p>
    <w:p w:rsidR="008C34A1" w:rsidRPr="00744653" w:rsidRDefault="00940C85">
      <w:pPr>
        <w:adjustRightInd w:val="0"/>
        <w:snapToGrid w:val="0"/>
        <w:spacing w:line="360" w:lineRule="auto"/>
        <w:rPr>
          <w:rFonts w:ascii="仿宋_GB2312" w:eastAsia="仿宋_GB2312" w:hAnsiTheme="minorEastAsia" w:cstheme="minorEastAsia"/>
          <w:color w:val="000000"/>
          <w:sz w:val="32"/>
          <w:szCs w:val="32"/>
        </w:rPr>
      </w:pPr>
      <w:r w:rsidRPr="00744653">
        <w:rPr>
          <w:rFonts w:ascii="仿宋_GB2312" w:eastAsia="仿宋_GB2312" w:hAnsiTheme="minorEastAsia" w:cstheme="minorEastAsia" w:hint="eastAsia"/>
          <w:color w:val="000000"/>
          <w:sz w:val="32"/>
          <w:szCs w:val="32"/>
        </w:rPr>
        <w:t>（5）、绿化类评估的要点：按搬迁价评估。</w:t>
      </w:r>
    </w:p>
    <w:p w:rsidR="008C34A1" w:rsidRDefault="00940C85" w:rsidP="0005257C">
      <w:pPr>
        <w:adjustRightInd w:val="0"/>
        <w:snapToGrid w:val="0"/>
        <w:spacing w:line="360" w:lineRule="auto"/>
        <w:ind w:firstLineChars="200" w:firstLine="562"/>
        <w:rPr>
          <w:rFonts w:asciiTheme="majorEastAsia" w:eastAsiaTheme="majorEastAsia" w:hAnsiTheme="majorEastAsia" w:cstheme="majorEastAsia"/>
          <w:color w:val="000000"/>
          <w:sz w:val="28"/>
          <w:szCs w:val="28"/>
        </w:rPr>
      </w:pPr>
      <w:r w:rsidRPr="00744653">
        <w:rPr>
          <w:rFonts w:ascii="仿宋_GB2312" w:eastAsia="仿宋_GB2312" w:hAnsiTheme="majorEastAsia" w:cstheme="majorEastAsia" w:hint="eastAsia"/>
          <w:b/>
          <w:bCs/>
          <w:color w:val="000000"/>
          <w:sz w:val="28"/>
          <w:szCs w:val="28"/>
        </w:rPr>
        <w:t>七、退养评估中各类型养殖场的特征</w:t>
      </w:r>
      <w:r w:rsidRPr="00744653">
        <w:rPr>
          <w:rFonts w:ascii="仿宋_GB2312" w:eastAsia="仿宋_GB2312" w:hAnsiTheme="majorEastAsia" w:cstheme="majorEastAsia" w:hint="eastAsia"/>
          <w:color w:val="000000"/>
          <w:sz w:val="28"/>
          <w:szCs w:val="28"/>
        </w:rPr>
        <w:t xml:space="preserve">    </w:t>
      </w:r>
      <w:r>
        <w:rPr>
          <w:rFonts w:asciiTheme="majorEastAsia" w:eastAsiaTheme="majorEastAsia" w:hAnsiTheme="majorEastAsia" w:cstheme="majorEastAsia" w:hint="eastAsia"/>
          <w:color w:val="000000"/>
          <w:sz w:val="28"/>
          <w:szCs w:val="28"/>
        </w:rPr>
        <w:t xml:space="preserve">                   </w:t>
      </w:r>
    </w:p>
    <w:tbl>
      <w:tblPr>
        <w:tblStyle w:val="a4"/>
        <w:tblW w:w="8522" w:type="dxa"/>
        <w:tblLayout w:type="fixed"/>
        <w:tblLook w:val="04A0" w:firstRow="1" w:lastRow="0" w:firstColumn="1" w:lastColumn="0" w:noHBand="0" w:noVBand="1"/>
      </w:tblPr>
      <w:tblGrid>
        <w:gridCol w:w="1254"/>
        <w:gridCol w:w="7268"/>
      </w:tblGrid>
      <w:tr w:rsidR="008C34A1">
        <w:tc>
          <w:tcPr>
            <w:tcW w:w="8522" w:type="dxa"/>
            <w:gridSpan w:val="2"/>
            <w:vAlign w:val="center"/>
          </w:tcPr>
          <w:p w:rsidR="008C34A1" w:rsidRDefault="008C34A1">
            <w:pPr>
              <w:adjustRightInd w:val="0"/>
              <w:snapToGrid w:val="0"/>
              <w:spacing w:line="360" w:lineRule="auto"/>
              <w:jc w:val="center"/>
              <w:rPr>
                <w:rFonts w:asciiTheme="minorEastAsia" w:eastAsiaTheme="minorEastAsia" w:hAnsiTheme="minorEastAsia" w:cstheme="minorEastAsia"/>
                <w:b/>
                <w:bCs/>
                <w:color w:val="000000"/>
                <w:sz w:val="24"/>
                <w:szCs w:val="24"/>
              </w:rPr>
            </w:pPr>
          </w:p>
          <w:p w:rsidR="008C34A1" w:rsidRDefault="00940C85">
            <w:pPr>
              <w:adjustRightInd w:val="0"/>
              <w:snapToGrid w:val="0"/>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奶牛养殖场</w:t>
            </w:r>
          </w:p>
          <w:p w:rsidR="008C34A1" w:rsidRDefault="008C34A1">
            <w:pPr>
              <w:adjustRightInd w:val="0"/>
              <w:snapToGrid w:val="0"/>
              <w:spacing w:line="360" w:lineRule="auto"/>
              <w:jc w:val="center"/>
              <w:rPr>
                <w:rFonts w:asciiTheme="minorEastAsia" w:eastAsiaTheme="minorEastAsia" w:hAnsiTheme="minorEastAsia" w:cstheme="minorEastAsia"/>
                <w:b/>
                <w:bCs/>
                <w:color w:val="000000"/>
                <w:sz w:val="24"/>
                <w:szCs w:val="24"/>
              </w:rPr>
            </w:pP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地</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建</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筑</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物</w:t>
            </w:r>
          </w:p>
          <w:p w:rsidR="008C34A1" w:rsidRDefault="008C34A1">
            <w:pPr>
              <w:adjustRightInd w:val="0"/>
              <w:snapToGrid w:val="0"/>
              <w:spacing w:line="360" w:lineRule="auto"/>
              <w:jc w:val="center"/>
              <w:rPr>
                <w:rFonts w:asciiTheme="minorEastAsia" w:eastAsiaTheme="minorEastAsia" w:hAnsiTheme="minorEastAsia" w:cstheme="minorEastAsia"/>
                <w:color w:val="000000"/>
                <w:sz w:val="24"/>
                <w:szCs w:val="24"/>
              </w:rPr>
            </w:pPr>
          </w:p>
        </w:tc>
        <w:tc>
          <w:tcPr>
            <w:tcW w:w="7268" w:type="dxa"/>
            <w:vAlign w:val="center"/>
          </w:tcPr>
          <w:p w:rsidR="008C34A1" w:rsidRDefault="00940C85">
            <w:pPr>
              <w:numPr>
                <w:ilvl w:val="0"/>
                <w:numId w:val="1"/>
              </w:num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旧式砖混结构牛舍：</w:t>
            </w:r>
          </w:p>
          <w:p w:rsidR="008C34A1" w:rsidRDefault="00940C85">
            <w:pPr>
              <w:adjustRightInd w:val="0"/>
              <w:snapToGrid w:val="0"/>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砖混结构，东西山墙为一砖附壁柱、层高4.3米，木或铁大门3道，南北为</w:t>
            </w:r>
            <w:proofErr w:type="gramStart"/>
            <w:r>
              <w:rPr>
                <w:rFonts w:asciiTheme="minorEastAsia" w:eastAsiaTheme="minorEastAsia" w:hAnsiTheme="minorEastAsia" w:cstheme="minorEastAsia" w:hint="eastAsia"/>
                <w:color w:val="000000"/>
                <w:sz w:val="24"/>
                <w:szCs w:val="24"/>
              </w:rPr>
              <w:t>通透仅</w:t>
            </w:r>
            <w:proofErr w:type="gramEnd"/>
            <w:r>
              <w:rPr>
                <w:rFonts w:asciiTheme="minorEastAsia" w:eastAsiaTheme="minorEastAsia" w:hAnsiTheme="minorEastAsia" w:cstheme="minorEastAsia" w:hint="eastAsia"/>
                <w:color w:val="000000"/>
                <w:sz w:val="24"/>
                <w:szCs w:val="24"/>
              </w:rPr>
              <w:t>用彩钢或其他简单材料作一些遮光处理，南侧一般设有</w:t>
            </w:r>
            <w:proofErr w:type="gramStart"/>
            <w:r>
              <w:rPr>
                <w:rFonts w:asciiTheme="minorEastAsia" w:eastAsiaTheme="minorEastAsia" w:hAnsiTheme="minorEastAsia" w:cstheme="minorEastAsia" w:hint="eastAsia"/>
                <w:color w:val="000000"/>
                <w:sz w:val="24"/>
                <w:szCs w:val="24"/>
              </w:rPr>
              <w:t>彩钢顶运动</w:t>
            </w:r>
            <w:proofErr w:type="gramEnd"/>
            <w:r>
              <w:rPr>
                <w:rFonts w:asciiTheme="minorEastAsia" w:eastAsiaTheme="minorEastAsia" w:hAnsiTheme="minorEastAsia" w:cstheme="minorEastAsia" w:hint="eastAsia"/>
                <w:color w:val="000000"/>
                <w:sz w:val="24"/>
                <w:szCs w:val="24"/>
              </w:rPr>
              <w:t>场，室外设有大型露天运动场，放牛场采用中间高，四周低的设计，现浇结构柱，轻钢屋架人字洋瓦屋面，内部一般为双圈，设有水泥喂料通道、颈护栏，设有牛床，向</w:t>
            </w:r>
            <w:proofErr w:type="gramStart"/>
            <w:r>
              <w:rPr>
                <w:rFonts w:asciiTheme="minorEastAsia" w:eastAsiaTheme="minorEastAsia" w:hAnsiTheme="minorEastAsia" w:cstheme="minorEastAsia" w:hint="eastAsia"/>
                <w:color w:val="000000"/>
                <w:sz w:val="24"/>
                <w:szCs w:val="24"/>
              </w:rPr>
              <w:t>粪尿沟</w:t>
            </w:r>
            <w:proofErr w:type="gramEnd"/>
            <w:r>
              <w:rPr>
                <w:rFonts w:asciiTheme="minorEastAsia" w:eastAsiaTheme="minorEastAsia" w:hAnsiTheme="minorEastAsia" w:cstheme="minorEastAsia" w:hint="eastAsia"/>
                <w:color w:val="000000"/>
                <w:sz w:val="24"/>
                <w:szCs w:val="24"/>
              </w:rPr>
              <w:t>呈2%坡度，两侧粪尿沟各自连通牛舍中走道下大口径排污管道，与污水处理系统相连。</w:t>
            </w:r>
          </w:p>
          <w:p w:rsidR="008C34A1" w:rsidRDefault="00940C85">
            <w:pPr>
              <w:adjustRightInd w:val="0"/>
              <w:snapToGrid w:val="0"/>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2、新式钢结构牛舍</w:t>
            </w:r>
          </w:p>
          <w:p w:rsidR="008C34A1" w:rsidRDefault="00940C85">
            <w:pPr>
              <w:adjustRightInd w:val="0"/>
              <w:snapToGrid w:val="0"/>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层高约9.8米，钢结构主体结构，外墙彩钢围护，</w:t>
            </w:r>
            <w:proofErr w:type="gramStart"/>
            <w:r>
              <w:rPr>
                <w:rFonts w:asciiTheme="minorEastAsia" w:eastAsiaTheme="minorEastAsia" w:hAnsiTheme="minorEastAsia" w:cstheme="minorEastAsia" w:hint="eastAsia"/>
                <w:color w:val="000000"/>
                <w:sz w:val="24"/>
                <w:szCs w:val="24"/>
              </w:rPr>
              <w:t>彩钢加保温</w:t>
            </w:r>
            <w:proofErr w:type="gramEnd"/>
            <w:r>
              <w:rPr>
                <w:rFonts w:asciiTheme="minorEastAsia" w:eastAsiaTheme="minorEastAsia" w:hAnsiTheme="minorEastAsia" w:cstheme="minorEastAsia" w:hint="eastAsia"/>
                <w:color w:val="000000"/>
                <w:sz w:val="24"/>
                <w:szCs w:val="24"/>
              </w:rPr>
              <w:t>棉屋面，铝合金门窗，钢大门，多垮，</w:t>
            </w:r>
            <w:proofErr w:type="gramStart"/>
            <w:r>
              <w:rPr>
                <w:rFonts w:asciiTheme="minorEastAsia" w:eastAsiaTheme="minorEastAsia" w:hAnsiTheme="minorEastAsia" w:cstheme="minorEastAsia" w:hint="eastAsia"/>
                <w:color w:val="000000"/>
                <w:sz w:val="24"/>
                <w:szCs w:val="24"/>
              </w:rPr>
              <w:t>每垮双</w:t>
            </w:r>
            <w:proofErr w:type="gramEnd"/>
            <w:r>
              <w:rPr>
                <w:rFonts w:asciiTheme="minorEastAsia" w:eastAsiaTheme="minorEastAsia" w:hAnsiTheme="minorEastAsia" w:cstheme="minorEastAsia" w:hint="eastAsia"/>
                <w:color w:val="000000"/>
                <w:sz w:val="24"/>
                <w:szCs w:val="24"/>
              </w:rPr>
              <w:t>圈设计，设有水泥喂料通道、颈护栏、牛床、</w:t>
            </w:r>
            <w:proofErr w:type="gramStart"/>
            <w:r>
              <w:rPr>
                <w:rFonts w:asciiTheme="minorEastAsia" w:eastAsiaTheme="minorEastAsia" w:hAnsiTheme="minorEastAsia" w:cstheme="minorEastAsia" w:hint="eastAsia"/>
                <w:color w:val="000000"/>
                <w:sz w:val="24"/>
                <w:szCs w:val="24"/>
              </w:rPr>
              <w:t>刮粪集</w:t>
            </w:r>
            <w:proofErr w:type="gramEnd"/>
            <w:r>
              <w:rPr>
                <w:rFonts w:asciiTheme="minorEastAsia" w:eastAsiaTheme="minorEastAsia" w:hAnsiTheme="minorEastAsia" w:cstheme="minorEastAsia" w:hint="eastAsia"/>
                <w:color w:val="000000"/>
                <w:sz w:val="24"/>
                <w:szCs w:val="24"/>
              </w:rPr>
              <w:t>粪装置及通道、加料通道。</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专</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用</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备</w:t>
            </w:r>
          </w:p>
        </w:tc>
        <w:tc>
          <w:tcPr>
            <w:tcW w:w="7268" w:type="dxa"/>
            <w:vAlign w:val="center"/>
          </w:tcPr>
          <w:p w:rsidR="008C34A1" w:rsidRDefault="008C34A1">
            <w:pPr>
              <w:adjustRightInd w:val="0"/>
              <w:snapToGrid w:val="0"/>
              <w:spacing w:line="360" w:lineRule="auto"/>
              <w:ind w:firstLine="480"/>
              <w:jc w:val="left"/>
              <w:rPr>
                <w:rFonts w:asciiTheme="minorEastAsia" w:eastAsiaTheme="minorEastAsia" w:hAnsiTheme="minorEastAsia" w:cstheme="minorEastAsia"/>
                <w:color w:val="000000"/>
                <w:sz w:val="24"/>
                <w:szCs w:val="24"/>
              </w:rPr>
            </w:pPr>
          </w:p>
          <w:p w:rsidR="008C34A1" w:rsidRDefault="00940C85">
            <w:pPr>
              <w:adjustRightInd w:val="0"/>
              <w:snapToGrid w:val="0"/>
              <w:spacing w:line="360" w:lineRule="auto"/>
              <w:ind w:firstLine="480"/>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牛舍内设有挤奶管道系统与设备</w:t>
            </w:r>
            <w:proofErr w:type="gramStart"/>
            <w:r>
              <w:rPr>
                <w:rFonts w:asciiTheme="minorEastAsia" w:eastAsiaTheme="minorEastAsia" w:hAnsiTheme="minorEastAsia" w:cstheme="minorEastAsia" w:hint="eastAsia"/>
                <w:color w:val="000000"/>
                <w:sz w:val="24"/>
                <w:szCs w:val="24"/>
              </w:rPr>
              <w:t>间奶缸</w:t>
            </w:r>
            <w:proofErr w:type="gramEnd"/>
            <w:r>
              <w:rPr>
                <w:rFonts w:asciiTheme="minorEastAsia" w:eastAsiaTheme="minorEastAsia" w:hAnsiTheme="minorEastAsia" w:cstheme="minorEastAsia" w:hint="eastAsia"/>
                <w:color w:val="000000"/>
                <w:sz w:val="24"/>
                <w:szCs w:val="24"/>
              </w:rPr>
              <w:t>（冷缸）相连、喷淋系统、饮水系统、</w:t>
            </w:r>
            <w:proofErr w:type="gramStart"/>
            <w:r>
              <w:rPr>
                <w:rFonts w:asciiTheme="minorEastAsia" w:eastAsiaTheme="minorEastAsia" w:hAnsiTheme="minorEastAsia" w:cstheme="minorEastAsia" w:hint="eastAsia"/>
                <w:color w:val="000000"/>
                <w:sz w:val="24"/>
                <w:szCs w:val="24"/>
              </w:rPr>
              <w:t>湿帘排</w:t>
            </w:r>
            <w:proofErr w:type="gramEnd"/>
            <w:r>
              <w:rPr>
                <w:rFonts w:asciiTheme="minorEastAsia" w:eastAsiaTheme="minorEastAsia" w:hAnsiTheme="minorEastAsia" w:cstheme="minorEastAsia" w:hint="eastAsia"/>
                <w:color w:val="000000"/>
                <w:sz w:val="24"/>
                <w:szCs w:val="24"/>
              </w:rPr>
              <w:t>风降温系统、排风机、挤奶装置、粪车、料车、粗料粉碎机、青储切割机、挤奶器、牛床垫、牛粪机、粪污分离机、</w:t>
            </w:r>
            <w:proofErr w:type="gramStart"/>
            <w:r>
              <w:rPr>
                <w:rFonts w:asciiTheme="minorEastAsia" w:eastAsiaTheme="minorEastAsia" w:hAnsiTheme="minorEastAsia" w:cstheme="minorEastAsia" w:hint="eastAsia"/>
                <w:color w:val="000000"/>
                <w:sz w:val="24"/>
                <w:szCs w:val="24"/>
              </w:rPr>
              <w:t>吊牛</w:t>
            </w:r>
            <w:proofErr w:type="gramEnd"/>
            <w:r>
              <w:rPr>
                <w:rFonts w:asciiTheme="minorEastAsia" w:eastAsiaTheme="minorEastAsia" w:hAnsiTheme="minorEastAsia" w:cstheme="minorEastAsia" w:hint="eastAsia"/>
                <w:color w:val="000000"/>
                <w:sz w:val="24"/>
                <w:szCs w:val="24"/>
              </w:rPr>
              <w:t>架、消毒烘干设备、</w:t>
            </w:r>
            <w:proofErr w:type="gramStart"/>
            <w:r>
              <w:rPr>
                <w:rFonts w:asciiTheme="minorEastAsia" w:eastAsiaTheme="minorEastAsia" w:hAnsiTheme="minorEastAsia" w:cstheme="minorEastAsia" w:hint="eastAsia"/>
                <w:color w:val="000000"/>
                <w:sz w:val="24"/>
                <w:szCs w:val="24"/>
              </w:rPr>
              <w:t>锯草</w:t>
            </w:r>
            <w:proofErr w:type="gramEnd"/>
            <w:r>
              <w:rPr>
                <w:rFonts w:asciiTheme="minorEastAsia" w:eastAsiaTheme="minorEastAsia" w:hAnsiTheme="minorEastAsia" w:cstheme="minorEastAsia" w:hint="eastAsia"/>
                <w:color w:val="000000"/>
                <w:sz w:val="24"/>
                <w:szCs w:val="24"/>
              </w:rPr>
              <w:t>机、流量器、液氮罐、进口管道式先进挤奶系统，管道式挤奶设备一般为利拉伐</w:t>
            </w:r>
            <w:proofErr w:type="gramStart"/>
            <w:r>
              <w:rPr>
                <w:rFonts w:asciiTheme="minorEastAsia" w:eastAsiaTheme="minorEastAsia" w:hAnsiTheme="minorEastAsia" w:cstheme="minorEastAsia" w:hint="eastAsia"/>
                <w:color w:val="000000"/>
                <w:sz w:val="24"/>
                <w:szCs w:val="24"/>
              </w:rPr>
              <w:t>或韦斯伐</w:t>
            </w:r>
            <w:proofErr w:type="gramEnd"/>
            <w:r>
              <w:rPr>
                <w:rFonts w:asciiTheme="minorEastAsia" w:eastAsiaTheme="minorEastAsia" w:hAnsiTheme="minorEastAsia" w:cstheme="minorEastAsia" w:hint="eastAsia"/>
                <w:color w:val="000000"/>
                <w:sz w:val="24"/>
                <w:szCs w:val="24"/>
              </w:rPr>
              <w:t>里亚杯组、卧式制冷缸（3T-8T）。</w:t>
            </w:r>
          </w:p>
          <w:p w:rsidR="008C34A1" w:rsidRDefault="008C34A1">
            <w:pPr>
              <w:adjustRightInd w:val="0"/>
              <w:snapToGrid w:val="0"/>
              <w:spacing w:line="360" w:lineRule="auto"/>
              <w:ind w:firstLine="480"/>
              <w:jc w:val="left"/>
              <w:rPr>
                <w:rFonts w:asciiTheme="minorEastAsia" w:eastAsiaTheme="minorEastAsia" w:hAnsiTheme="minorEastAsia" w:cstheme="minorEastAsia"/>
                <w:color w:val="000000"/>
                <w:sz w:val="24"/>
                <w:szCs w:val="24"/>
              </w:rPr>
            </w:pPr>
          </w:p>
        </w:tc>
      </w:tr>
      <w:tr w:rsidR="008C34A1">
        <w:trPr>
          <w:trHeight w:val="850"/>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附</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属</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施</w:t>
            </w:r>
          </w:p>
        </w:tc>
        <w:tc>
          <w:tcPr>
            <w:tcW w:w="7268"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道路、围墙、场地、明沟、牛码头、放牛场、污水处理池、干粪码头、饮水池青玉米池</w:t>
            </w:r>
          </w:p>
        </w:tc>
      </w:tr>
      <w:tr w:rsidR="008C34A1">
        <w:trPr>
          <w:trHeight w:val="850"/>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特</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殊</w:t>
            </w:r>
            <w:proofErr w:type="gramEnd"/>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目</w:t>
            </w:r>
          </w:p>
        </w:tc>
        <w:tc>
          <w:tcPr>
            <w:tcW w:w="7268"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进口草料的搬迁费评估</w:t>
            </w:r>
          </w:p>
        </w:tc>
      </w:tr>
    </w:tbl>
    <w:p w:rsidR="008C34A1" w:rsidRDefault="008C34A1">
      <w:pPr>
        <w:adjustRightInd w:val="0"/>
        <w:snapToGrid w:val="0"/>
        <w:spacing w:line="360" w:lineRule="auto"/>
        <w:rPr>
          <w:rFonts w:asciiTheme="minorEastAsia" w:eastAsiaTheme="minorEastAsia" w:hAnsiTheme="minorEastAsia" w:cstheme="minorEastAsia"/>
          <w:color w:val="000000"/>
          <w:sz w:val="24"/>
          <w:szCs w:val="24"/>
        </w:rPr>
      </w:pPr>
    </w:p>
    <w:tbl>
      <w:tblPr>
        <w:tblStyle w:val="a4"/>
        <w:tblW w:w="8522" w:type="dxa"/>
        <w:tblLayout w:type="fixed"/>
        <w:tblLook w:val="04A0" w:firstRow="1" w:lastRow="0" w:firstColumn="1" w:lastColumn="0" w:noHBand="0" w:noVBand="1"/>
      </w:tblPr>
      <w:tblGrid>
        <w:gridCol w:w="1254"/>
        <w:gridCol w:w="7268"/>
      </w:tblGrid>
      <w:tr w:rsidR="008C34A1">
        <w:tc>
          <w:tcPr>
            <w:tcW w:w="8522" w:type="dxa"/>
            <w:gridSpan w:val="2"/>
            <w:vAlign w:val="center"/>
          </w:tcPr>
          <w:p w:rsidR="008C34A1" w:rsidRDefault="008C34A1">
            <w:pPr>
              <w:adjustRightInd w:val="0"/>
              <w:snapToGrid w:val="0"/>
              <w:spacing w:line="360" w:lineRule="auto"/>
              <w:jc w:val="center"/>
              <w:rPr>
                <w:rFonts w:asciiTheme="minorEastAsia" w:eastAsiaTheme="minorEastAsia" w:hAnsiTheme="minorEastAsia" w:cstheme="minorEastAsia"/>
                <w:b/>
                <w:bCs/>
                <w:color w:val="000000"/>
                <w:sz w:val="24"/>
                <w:szCs w:val="24"/>
              </w:rPr>
            </w:pPr>
          </w:p>
          <w:p w:rsidR="008C34A1" w:rsidRDefault="00940C85">
            <w:pPr>
              <w:adjustRightInd w:val="0"/>
              <w:snapToGrid w:val="0"/>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养猪场</w:t>
            </w:r>
          </w:p>
          <w:p w:rsidR="008C34A1" w:rsidRDefault="008C34A1">
            <w:pPr>
              <w:adjustRightInd w:val="0"/>
              <w:snapToGrid w:val="0"/>
              <w:spacing w:line="360" w:lineRule="auto"/>
              <w:jc w:val="center"/>
              <w:rPr>
                <w:rFonts w:asciiTheme="minorEastAsia" w:eastAsiaTheme="minorEastAsia" w:hAnsiTheme="minorEastAsia" w:cstheme="minorEastAsia"/>
                <w:b/>
                <w:bCs/>
                <w:color w:val="000000"/>
                <w:sz w:val="24"/>
                <w:szCs w:val="24"/>
              </w:rPr>
            </w:pP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地</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建</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筑</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物</w:t>
            </w:r>
          </w:p>
          <w:p w:rsidR="008C34A1" w:rsidRDefault="008C34A1">
            <w:pPr>
              <w:adjustRightInd w:val="0"/>
              <w:snapToGrid w:val="0"/>
              <w:spacing w:line="360" w:lineRule="auto"/>
              <w:jc w:val="center"/>
              <w:rPr>
                <w:rFonts w:asciiTheme="minorEastAsia" w:eastAsiaTheme="minorEastAsia" w:hAnsiTheme="minorEastAsia" w:cstheme="minorEastAsia"/>
                <w:color w:val="000000"/>
                <w:sz w:val="24"/>
                <w:szCs w:val="24"/>
              </w:rPr>
            </w:pPr>
          </w:p>
        </w:tc>
        <w:tc>
          <w:tcPr>
            <w:tcW w:w="7268" w:type="dxa"/>
            <w:vAlign w:val="center"/>
          </w:tcPr>
          <w:p w:rsidR="008C34A1" w:rsidRDefault="00940C85">
            <w:pPr>
              <w:adjustRightInd w:val="0"/>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p>
          <w:p w:rsidR="008C34A1" w:rsidRDefault="00940C85">
            <w:pPr>
              <w:adjustRightInd w:val="0"/>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砖混结构，层高3.3米，净高2.4-2.8米，</w:t>
            </w:r>
            <w:proofErr w:type="gramStart"/>
            <w:r>
              <w:rPr>
                <w:rFonts w:asciiTheme="minorEastAsia" w:eastAsiaTheme="minorEastAsia" w:hAnsiTheme="minorEastAsia" w:cstheme="minorEastAsia" w:hint="eastAsia"/>
                <w:color w:val="000000"/>
                <w:sz w:val="24"/>
                <w:szCs w:val="24"/>
              </w:rPr>
              <w:t>洋瓦人字</w:t>
            </w:r>
            <w:proofErr w:type="gramEnd"/>
            <w:r>
              <w:rPr>
                <w:rFonts w:asciiTheme="minorEastAsia" w:eastAsiaTheme="minorEastAsia" w:hAnsiTheme="minorEastAsia" w:cstheme="minorEastAsia" w:hint="eastAsia"/>
                <w:color w:val="000000"/>
                <w:sz w:val="24"/>
                <w:szCs w:val="24"/>
              </w:rPr>
              <w:t>屋面、塑钢窗、铁门，配有若干</w:t>
            </w:r>
            <w:proofErr w:type="gramStart"/>
            <w:r>
              <w:rPr>
                <w:rFonts w:asciiTheme="minorEastAsia" w:eastAsiaTheme="minorEastAsia" w:hAnsiTheme="minorEastAsia" w:cstheme="minorEastAsia" w:hint="eastAsia"/>
                <w:color w:val="000000"/>
                <w:sz w:val="24"/>
                <w:szCs w:val="24"/>
              </w:rPr>
              <w:t>嵌墙式湿</w:t>
            </w:r>
            <w:proofErr w:type="gramEnd"/>
            <w:r>
              <w:rPr>
                <w:rFonts w:asciiTheme="minorEastAsia" w:eastAsiaTheme="minorEastAsia" w:hAnsiTheme="minorEastAsia" w:cstheme="minorEastAsia" w:hint="eastAsia"/>
                <w:color w:val="000000"/>
                <w:sz w:val="24"/>
                <w:szCs w:val="24"/>
              </w:rPr>
              <w:t>帘，地面架空设计，中走道抬高，两侧</w:t>
            </w:r>
            <w:proofErr w:type="gramStart"/>
            <w:r>
              <w:rPr>
                <w:rFonts w:asciiTheme="minorEastAsia" w:eastAsiaTheme="minorEastAsia" w:hAnsiTheme="minorEastAsia" w:cstheme="minorEastAsia" w:hint="eastAsia"/>
                <w:color w:val="000000"/>
                <w:sz w:val="24"/>
                <w:szCs w:val="24"/>
              </w:rPr>
              <w:t>双圈漏粪板</w:t>
            </w:r>
            <w:proofErr w:type="gramEnd"/>
            <w:r>
              <w:rPr>
                <w:rFonts w:asciiTheme="minorEastAsia" w:eastAsiaTheme="minorEastAsia" w:hAnsiTheme="minorEastAsia" w:cstheme="minorEastAsia" w:hint="eastAsia"/>
                <w:color w:val="000000"/>
                <w:sz w:val="24"/>
                <w:szCs w:val="24"/>
              </w:rPr>
              <w:t>带2%坡度，架空层为下沉式水泡粪池。</w:t>
            </w:r>
            <w:proofErr w:type="gramStart"/>
            <w:r>
              <w:rPr>
                <w:rFonts w:asciiTheme="minorEastAsia" w:eastAsiaTheme="minorEastAsia" w:hAnsiTheme="minorEastAsia" w:cstheme="minorEastAsia" w:hint="eastAsia"/>
                <w:color w:val="000000"/>
                <w:sz w:val="24"/>
                <w:szCs w:val="24"/>
              </w:rPr>
              <w:t>舍内部</w:t>
            </w:r>
            <w:proofErr w:type="gramEnd"/>
            <w:r>
              <w:rPr>
                <w:rFonts w:asciiTheme="minorEastAsia" w:eastAsiaTheme="minorEastAsia" w:hAnsiTheme="minorEastAsia" w:cstheme="minorEastAsia" w:hint="eastAsia"/>
                <w:color w:val="000000"/>
                <w:sz w:val="24"/>
                <w:szCs w:val="24"/>
              </w:rPr>
              <w:t>采用小单元设计，方便猪群全进全出。</w:t>
            </w:r>
          </w:p>
          <w:p w:rsidR="008C34A1" w:rsidRDefault="008C34A1">
            <w:pPr>
              <w:adjustRightInd w:val="0"/>
              <w:snapToGrid w:val="0"/>
              <w:spacing w:line="360" w:lineRule="auto"/>
              <w:ind w:firstLine="560"/>
              <w:rPr>
                <w:rFonts w:asciiTheme="minorEastAsia" w:eastAsiaTheme="minorEastAsia" w:hAnsiTheme="minorEastAsia" w:cstheme="minorEastAsia"/>
                <w:color w:val="000000"/>
                <w:sz w:val="24"/>
                <w:szCs w:val="24"/>
              </w:rPr>
            </w:pPr>
          </w:p>
          <w:p w:rsidR="008C34A1" w:rsidRDefault="00940C85">
            <w:pPr>
              <w:adjustRightInd w:val="0"/>
              <w:snapToGrid w:val="0"/>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专</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用</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备</w:t>
            </w:r>
          </w:p>
        </w:tc>
        <w:tc>
          <w:tcPr>
            <w:tcW w:w="7268" w:type="dxa"/>
            <w:vAlign w:val="center"/>
          </w:tcPr>
          <w:p w:rsidR="008C34A1" w:rsidRDefault="00940C85">
            <w:pPr>
              <w:adjustRightInd w:val="0"/>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自动饮水系统，产床（</w:t>
            </w:r>
            <w:proofErr w:type="gramStart"/>
            <w:r>
              <w:rPr>
                <w:rFonts w:asciiTheme="minorEastAsia" w:eastAsiaTheme="minorEastAsia" w:hAnsiTheme="minorEastAsia" w:cstheme="minorEastAsia" w:hint="eastAsia"/>
                <w:color w:val="000000"/>
                <w:sz w:val="24"/>
                <w:szCs w:val="24"/>
              </w:rPr>
              <w:t>附粪板</w:t>
            </w:r>
            <w:proofErr w:type="gramEnd"/>
            <w:r>
              <w:rPr>
                <w:rFonts w:asciiTheme="minorEastAsia" w:eastAsiaTheme="minorEastAsia" w:hAnsiTheme="minorEastAsia" w:cstheme="minorEastAsia" w:hint="eastAsia"/>
                <w:color w:val="000000"/>
                <w:sz w:val="24"/>
                <w:szCs w:val="24"/>
              </w:rPr>
              <w:t>）、保胎架（</w:t>
            </w:r>
            <w:proofErr w:type="gramStart"/>
            <w:r>
              <w:rPr>
                <w:rFonts w:asciiTheme="minorEastAsia" w:eastAsiaTheme="minorEastAsia" w:hAnsiTheme="minorEastAsia" w:cstheme="minorEastAsia" w:hint="eastAsia"/>
                <w:color w:val="000000"/>
                <w:sz w:val="24"/>
                <w:szCs w:val="24"/>
              </w:rPr>
              <w:t>附粪</w:t>
            </w:r>
            <w:proofErr w:type="gramEnd"/>
            <w:r>
              <w:rPr>
                <w:rFonts w:asciiTheme="minorEastAsia" w:eastAsiaTheme="minorEastAsia" w:hAnsiTheme="minorEastAsia" w:cstheme="minorEastAsia" w:hint="eastAsia"/>
                <w:color w:val="000000"/>
                <w:sz w:val="24"/>
                <w:szCs w:val="24"/>
              </w:rPr>
              <w:t>板）、公猪栏、</w:t>
            </w:r>
            <w:proofErr w:type="gramStart"/>
            <w:r>
              <w:rPr>
                <w:rFonts w:asciiTheme="minorEastAsia" w:eastAsiaTheme="minorEastAsia" w:hAnsiTheme="minorEastAsia" w:cstheme="minorEastAsia" w:hint="eastAsia"/>
                <w:color w:val="000000"/>
                <w:sz w:val="24"/>
                <w:szCs w:val="24"/>
              </w:rPr>
              <w:t>高床保</w:t>
            </w:r>
            <w:proofErr w:type="gramEnd"/>
            <w:r>
              <w:rPr>
                <w:rFonts w:asciiTheme="minorEastAsia" w:eastAsiaTheme="minorEastAsia" w:hAnsiTheme="minorEastAsia" w:cstheme="minorEastAsia" w:hint="eastAsia"/>
                <w:color w:val="000000"/>
                <w:sz w:val="24"/>
                <w:szCs w:val="24"/>
              </w:rPr>
              <w:t>育栏、保育栏（</w:t>
            </w:r>
            <w:proofErr w:type="gramStart"/>
            <w:r>
              <w:rPr>
                <w:rFonts w:asciiTheme="minorEastAsia" w:eastAsiaTheme="minorEastAsia" w:hAnsiTheme="minorEastAsia" w:cstheme="minorEastAsia" w:hint="eastAsia"/>
                <w:color w:val="000000"/>
                <w:sz w:val="24"/>
                <w:szCs w:val="24"/>
              </w:rPr>
              <w:t>附地</w:t>
            </w:r>
            <w:proofErr w:type="gramEnd"/>
            <w:r>
              <w:rPr>
                <w:rFonts w:asciiTheme="minorEastAsia" w:eastAsiaTheme="minorEastAsia" w:hAnsiTheme="minorEastAsia" w:cstheme="minorEastAsia" w:hint="eastAsia"/>
                <w:color w:val="000000"/>
                <w:sz w:val="24"/>
                <w:szCs w:val="24"/>
              </w:rPr>
              <w:t>暖）、限位栏、</w:t>
            </w:r>
            <w:proofErr w:type="gramStart"/>
            <w:r>
              <w:rPr>
                <w:rFonts w:asciiTheme="minorEastAsia" w:eastAsiaTheme="minorEastAsia" w:hAnsiTheme="minorEastAsia" w:cstheme="minorEastAsia" w:hint="eastAsia"/>
                <w:color w:val="000000"/>
                <w:sz w:val="24"/>
                <w:szCs w:val="24"/>
              </w:rPr>
              <w:t>地暖板</w:t>
            </w:r>
            <w:proofErr w:type="gramEnd"/>
            <w:r>
              <w:rPr>
                <w:rFonts w:asciiTheme="minorEastAsia" w:eastAsiaTheme="minorEastAsia" w:hAnsiTheme="minorEastAsia" w:cstheme="minorEastAsia" w:hint="eastAsia"/>
                <w:color w:val="000000"/>
                <w:sz w:val="24"/>
                <w:szCs w:val="24"/>
              </w:rPr>
              <w:t>等</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附</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属</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施</w:t>
            </w:r>
          </w:p>
        </w:tc>
        <w:tc>
          <w:tcPr>
            <w:tcW w:w="7268" w:type="dxa"/>
            <w:vAlign w:val="center"/>
          </w:tcPr>
          <w:p w:rsidR="008C34A1" w:rsidRDefault="00940C85">
            <w:pPr>
              <w:adjustRightInd w:val="0"/>
              <w:snapToGri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道路、围墙、场地、明沟、消毒池、猪跑道、</w:t>
            </w:r>
            <w:proofErr w:type="gramStart"/>
            <w:r>
              <w:rPr>
                <w:rFonts w:asciiTheme="minorEastAsia" w:eastAsiaTheme="minorEastAsia" w:hAnsiTheme="minorEastAsia" w:cstheme="minorEastAsia" w:hint="eastAsia"/>
                <w:color w:val="000000"/>
                <w:sz w:val="24"/>
                <w:szCs w:val="24"/>
              </w:rPr>
              <w:t>化尸池</w:t>
            </w:r>
            <w:proofErr w:type="gramEnd"/>
            <w:r>
              <w:rPr>
                <w:rFonts w:asciiTheme="minorEastAsia" w:eastAsiaTheme="minorEastAsia" w:hAnsiTheme="minorEastAsia" w:cstheme="minorEastAsia" w:hint="eastAsia"/>
                <w:color w:val="000000"/>
                <w:sz w:val="24"/>
                <w:szCs w:val="24"/>
              </w:rPr>
              <w:t>、运动场、氧化塘等</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lastRenderedPageBreak/>
              <w:t>特</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殊</w:t>
            </w:r>
            <w:proofErr w:type="gramEnd"/>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目</w:t>
            </w:r>
          </w:p>
        </w:tc>
        <w:tc>
          <w:tcPr>
            <w:tcW w:w="7268" w:type="dxa"/>
            <w:vAlign w:val="center"/>
          </w:tcPr>
          <w:p w:rsidR="008C34A1" w:rsidRDefault="00940C85">
            <w:pPr>
              <w:adjustRightInd w:val="0"/>
              <w:snapToGri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大型污水处理系统及水泡粪猪舍的评估是难点。</w:t>
            </w:r>
          </w:p>
        </w:tc>
      </w:tr>
    </w:tbl>
    <w:p w:rsidR="008C34A1" w:rsidRDefault="008C34A1">
      <w:pPr>
        <w:adjustRightInd w:val="0"/>
        <w:snapToGrid w:val="0"/>
        <w:spacing w:line="360" w:lineRule="auto"/>
        <w:rPr>
          <w:rFonts w:asciiTheme="minorEastAsia" w:eastAsiaTheme="minorEastAsia" w:hAnsiTheme="minorEastAsia" w:cstheme="minorEastAsia"/>
          <w:color w:val="000000"/>
          <w:sz w:val="24"/>
          <w:szCs w:val="24"/>
        </w:rPr>
      </w:pPr>
    </w:p>
    <w:tbl>
      <w:tblPr>
        <w:tblStyle w:val="a4"/>
        <w:tblW w:w="8522" w:type="dxa"/>
        <w:tblLayout w:type="fixed"/>
        <w:tblLook w:val="04A0" w:firstRow="1" w:lastRow="0" w:firstColumn="1" w:lastColumn="0" w:noHBand="0" w:noVBand="1"/>
      </w:tblPr>
      <w:tblGrid>
        <w:gridCol w:w="1254"/>
        <w:gridCol w:w="7268"/>
      </w:tblGrid>
      <w:tr w:rsidR="008C34A1">
        <w:tc>
          <w:tcPr>
            <w:tcW w:w="8522" w:type="dxa"/>
            <w:gridSpan w:val="2"/>
            <w:vAlign w:val="center"/>
          </w:tcPr>
          <w:p w:rsidR="008C34A1" w:rsidRDefault="008C34A1">
            <w:pPr>
              <w:adjustRightInd w:val="0"/>
              <w:snapToGrid w:val="0"/>
              <w:spacing w:line="360" w:lineRule="auto"/>
              <w:jc w:val="center"/>
              <w:rPr>
                <w:rFonts w:asciiTheme="minorEastAsia" w:eastAsiaTheme="minorEastAsia" w:hAnsiTheme="minorEastAsia" w:cstheme="minorEastAsia"/>
                <w:b/>
                <w:bCs/>
                <w:color w:val="000000"/>
                <w:sz w:val="24"/>
                <w:szCs w:val="24"/>
              </w:rPr>
            </w:pPr>
          </w:p>
          <w:p w:rsidR="008C34A1" w:rsidRDefault="00940C85">
            <w:pPr>
              <w:adjustRightInd w:val="0"/>
              <w:snapToGrid w:val="0"/>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养鸡场（蛋鸡）</w:t>
            </w:r>
          </w:p>
          <w:p w:rsidR="008C34A1" w:rsidRDefault="008C34A1">
            <w:pPr>
              <w:adjustRightInd w:val="0"/>
              <w:snapToGrid w:val="0"/>
              <w:spacing w:line="360" w:lineRule="auto"/>
              <w:jc w:val="center"/>
              <w:rPr>
                <w:rFonts w:asciiTheme="minorEastAsia" w:eastAsiaTheme="minorEastAsia" w:hAnsiTheme="minorEastAsia" w:cstheme="minorEastAsia"/>
                <w:b/>
                <w:bCs/>
                <w:color w:val="000000"/>
                <w:sz w:val="24"/>
                <w:szCs w:val="24"/>
              </w:rPr>
            </w:pP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地</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建</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筑</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物</w:t>
            </w:r>
          </w:p>
          <w:p w:rsidR="008C34A1" w:rsidRDefault="008C34A1">
            <w:pPr>
              <w:adjustRightInd w:val="0"/>
              <w:snapToGrid w:val="0"/>
              <w:spacing w:line="360" w:lineRule="auto"/>
              <w:jc w:val="center"/>
              <w:rPr>
                <w:rFonts w:asciiTheme="minorEastAsia" w:eastAsiaTheme="minorEastAsia" w:hAnsiTheme="minorEastAsia" w:cstheme="minorEastAsia"/>
                <w:color w:val="000000"/>
                <w:sz w:val="24"/>
                <w:szCs w:val="24"/>
              </w:rPr>
            </w:pPr>
          </w:p>
        </w:tc>
        <w:tc>
          <w:tcPr>
            <w:tcW w:w="7268" w:type="dxa"/>
            <w:vAlign w:val="center"/>
          </w:tcPr>
          <w:p w:rsidR="008C34A1" w:rsidRDefault="00940C85">
            <w:pPr>
              <w:adjustRightInd w:val="0"/>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p>
          <w:p w:rsidR="008C34A1" w:rsidRDefault="00940C85">
            <w:pPr>
              <w:adjustRightInd w:val="0"/>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简易结构，层高3.1米，彩钢人字屋面、轻钢三角屋架、</w:t>
            </w:r>
            <w:proofErr w:type="gramStart"/>
            <w:r>
              <w:rPr>
                <w:rFonts w:asciiTheme="minorEastAsia" w:eastAsiaTheme="minorEastAsia" w:hAnsiTheme="minorEastAsia" w:cstheme="minorEastAsia" w:hint="eastAsia"/>
                <w:color w:val="000000"/>
                <w:sz w:val="24"/>
                <w:szCs w:val="24"/>
              </w:rPr>
              <w:t>一</w:t>
            </w:r>
            <w:proofErr w:type="gramEnd"/>
            <w:r>
              <w:rPr>
                <w:rFonts w:asciiTheme="minorEastAsia" w:eastAsiaTheme="minorEastAsia" w:hAnsiTheme="minorEastAsia" w:cstheme="minorEastAsia" w:hint="eastAsia"/>
                <w:color w:val="000000"/>
                <w:sz w:val="24"/>
                <w:szCs w:val="24"/>
              </w:rPr>
              <w:t>砖墙附壁柱，条形基础，铝合金窗、铁门，配有若干</w:t>
            </w:r>
            <w:proofErr w:type="gramStart"/>
            <w:r>
              <w:rPr>
                <w:rFonts w:asciiTheme="minorEastAsia" w:eastAsiaTheme="minorEastAsia" w:hAnsiTheme="minorEastAsia" w:cstheme="minorEastAsia" w:hint="eastAsia"/>
                <w:color w:val="000000"/>
                <w:sz w:val="24"/>
                <w:szCs w:val="24"/>
              </w:rPr>
              <w:t>嵌墙式湿</w:t>
            </w:r>
            <w:proofErr w:type="gramEnd"/>
            <w:r>
              <w:rPr>
                <w:rFonts w:asciiTheme="minorEastAsia" w:eastAsiaTheme="minorEastAsia" w:hAnsiTheme="minorEastAsia" w:cstheme="minorEastAsia" w:hint="eastAsia"/>
                <w:color w:val="000000"/>
                <w:sz w:val="24"/>
                <w:szCs w:val="24"/>
              </w:rPr>
              <w:t>帘，前后有明沟，内水泥地坪，设有2道清粪槽（配有刮粪机组），每2道为1组。</w:t>
            </w:r>
          </w:p>
          <w:p w:rsidR="008C34A1" w:rsidRDefault="008C34A1">
            <w:pPr>
              <w:adjustRightInd w:val="0"/>
              <w:snapToGrid w:val="0"/>
              <w:spacing w:line="360" w:lineRule="auto"/>
              <w:ind w:firstLine="560"/>
              <w:rPr>
                <w:rFonts w:asciiTheme="minorEastAsia" w:eastAsiaTheme="minorEastAsia" w:hAnsiTheme="minorEastAsia" w:cstheme="minorEastAsia"/>
                <w:color w:val="000000"/>
                <w:sz w:val="24"/>
                <w:szCs w:val="24"/>
              </w:rPr>
            </w:pPr>
          </w:p>
          <w:p w:rsidR="008C34A1" w:rsidRDefault="00940C85">
            <w:pPr>
              <w:adjustRightInd w:val="0"/>
              <w:snapToGrid w:val="0"/>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专</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用</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备</w:t>
            </w:r>
          </w:p>
        </w:tc>
        <w:tc>
          <w:tcPr>
            <w:tcW w:w="7268" w:type="dxa"/>
            <w:vAlign w:val="center"/>
          </w:tcPr>
          <w:p w:rsidR="008C34A1" w:rsidRDefault="00940C85">
            <w:pPr>
              <w:adjustRightInd w:val="0"/>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自动高压喷雾，消毒泵、培养箱、干燥箱、鸡粪车、备用柴油发电机组、灭菌器、恒温水浴锅、不锈钢消毒箱、清粪机组、翻耙机、饲料加工机械、全自动</w:t>
            </w:r>
            <w:proofErr w:type="gramStart"/>
            <w:r>
              <w:rPr>
                <w:rFonts w:asciiTheme="minorEastAsia" w:eastAsiaTheme="minorEastAsia" w:hAnsiTheme="minorEastAsia" w:cstheme="minorEastAsia" w:hint="eastAsia"/>
                <w:color w:val="000000"/>
                <w:sz w:val="24"/>
                <w:szCs w:val="24"/>
              </w:rPr>
              <w:t>喂料机</w:t>
            </w:r>
            <w:proofErr w:type="gramEnd"/>
            <w:r>
              <w:rPr>
                <w:rFonts w:asciiTheme="minorEastAsia" w:eastAsiaTheme="minorEastAsia" w:hAnsiTheme="minorEastAsia" w:cstheme="minorEastAsia" w:hint="eastAsia"/>
                <w:color w:val="000000"/>
                <w:sz w:val="24"/>
                <w:szCs w:val="24"/>
              </w:rPr>
              <w:t>(含轨道）、不锈钢鸡笼、铁鸡笼等</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附</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属</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施</w:t>
            </w:r>
          </w:p>
        </w:tc>
        <w:tc>
          <w:tcPr>
            <w:tcW w:w="7268" w:type="dxa"/>
            <w:vAlign w:val="center"/>
          </w:tcPr>
          <w:p w:rsidR="008C34A1" w:rsidRDefault="00940C85">
            <w:pPr>
              <w:adjustRightInd w:val="0"/>
              <w:snapToGri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道路、围墙、场地、明沟、消毒池、装卸通道、化粪池、氧化塘、有机肥加工场。</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特</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殊</w:t>
            </w:r>
            <w:proofErr w:type="gramEnd"/>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目</w:t>
            </w:r>
          </w:p>
        </w:tc>
        <w:tc>
          <w:tcPr>
            <w:tcW w:w="7268" w:type="dxa"/>
            <w:vAlign w:val="center"/>
          </w:tcPr>
          <w:p w:rsidR="008C34A1" w:rsidRDefault="00940C85">
            <w:pPr>
              <w:adjustRightInd w:val="0"/>
              <w:snapToGri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氧化塘、沼气发电设施、排污减排工程的评估是难点。</w:t>
            </w:r>
          </w:p>
          <w:p w:rsidR="008C34A1" w:rsidRDefault="00940C85">
            <w:pPr>
              <w:adjustRightInd w:val="0"/>
              <w:snapToGri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鸡笼的区分按条计，每条4个鸡笼，每笼4只鸡，一般常见三阶梯式鸡笼6条为1组，每组养殖96只蛋鸡。</w:t>
            </w:r>
          </w:p>
        </w:tc>
      </w:tr>
    </w:tbl>
    <w:p w:rsidR="008C34A1" w:rsidRDefault="008C34A1">
      <w:pPr>
        <w:adjustRightInd w:val="0"/>
        <w:snapToGrid w:val="0"/>
        <w:spacing w:line="360" w:lineRule="auto"/>
        <w:ind w:firstLineChars="200" w:firstLine="480"/>
        <w:rPr>
          <w:rFonts w:asciiTheme="minorEastAsia" w:eastAsiaTheme="minorEastAsia" w:hAnsiTheme="minorEastAsia" w:cstheme="minorEastAsia"/>
          <w:color w:val="000000"/>
          <w:sz w:val="24"/>
          <w:szCs w:val="24"/>
        </w:rPr>
      </w:pPr>
    </w:p>
    <w:p w:rsidR="008C34A1" w:rsidRDefault="008C34A1">
      <w:pPr>
        <w:adjustRightInd w:val="0"/>
        <w:snapToGrid w:val="0"/>
        <w:spacing w:line="360" w:lineRule="auto"/>
        <w:rPr>
          <w:rFonts w:asciiTheme="minorEastAsia" w:eastAsiaTheme="minorEastAsia" w:hAnsiTheme="minorEastAsia" w:cstheme="minorEastAsia"/>
          <w:sz w:val="24"/>
          <w:szCs w:val="24"/>
        </w:rPr>
      </w:pPr>
    </w:p>
    <w:tbl>
      <w:tblPr>
        <w:tblStyle w:val="a4"/>
        <w:tblW w:w="8522" w:type="dxa"/>
        <w:tblLayout w:type="fixed"/>
        <w:tblLook w:val="04A0" w:firstRow="1" w:lastRow="0" w:firstColumn="1" w:lastColumn="0" w:noHBand="0" w:noVBand="1"/>
      </w:tblPr>
      <w:tblGrid>
        <w:gridCol w:w="1254"/>
        <w:gridCol w:w="7268"/>
      </w:tblGrid>
      <w:tr w:rsidR="008C34A1">
        <w:trPr>
          <w:trHeight w:val="85"/>
        </w:trPr>
        <w:tc>
          <w:tcPr>
            <w:tcW w:w="8522" w:type="dxa"/>
            <w:gridSpan w:val="2"/>
            <w:vAlign w:val="center"/>
          </w:tcPr>
          <w:p w:rsidR="008C34A1" w:rsidRDefault="008C34A1">
            <w:pPr>
              <w:adjustRightInd w:val="0"/>
              <w:snapToGrid w:val="0"/>
              <w:spacing w:line="360" w:lineRule="auto"/>
              <w:jc w:val="center"/>
              <w:rPr>
                <w:rFonts w:asciiTheme="minorEastAsia" w:eastAsiaTheme="minorEastAsia" w:hAnsiTheme="minorEastAsia" w:cstheme="minorEastAsia"/>
                <w:b/>
                <w:bCs/>
                <w:color w:val="000000"/>
                <w:sz w:val="24"/>
                <w:szCs w:val="24"/>
              </w:rPr>
            </w:pPr>
          </w:p>
          <w:p w:rsidR="008C34A1" w:rsidRDefault="00940C85">
            <w:pPr>
              <w:adjustRightInd w:val="0"/>
              <w:snapToGrid w:val="0"/>
              <w:spacing w:line="360" w:lineRule="auto"/>
              <w:jc w:val="center"/>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养鸽场（种鸽）</w:t>
            </w:r>
          </w:p>
          <w:p w:rsidR="008C34A1" w:rsidRDefault="008C34A1">
            <w:pPr>
              <w:adjustRightInd w:val="0"/>
              <w:snapToGrid w:val="0"/>
              <w:spacing w:line="360" w:lineRule="auto"/>
              <w:jc w:val="center"/>
              <w:rPr>
                <w:rFonts w:asciiTheme="minorEastAsia" w:eastAsiaTheme="minorEastAsia" w:hAnsiTheme="minorEastAsia" w:cstheme="minorEastAsia"/>
                <w:b/>
                <w:bCs/>
                <w:color w:val="000000"/>
                <w:sz w:val="24"/>
                <w:szCs w:val="24"/>
              </w:rPr>
            </w:pP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地</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上</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建</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筑</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物</w:t>
            </w:r>
          </w:p>
          <w:p w:rsidR="008C34A1" w:rsidRDefault="008C34A1">
            <w:pPr>
              <w:adjustRightInd w:val="0"/>
              <w:snapToGrid w:val="0"/>
              <w:spacing w:line="360" w:lineRule="auto"/>
              <w:jc w:val="center"/>
              <w:rPr>
                <w:rFonts w:asciiTheme="minorEastAsia" w:eastAsiaTheme="minorEastAsia" w:hAnsiTheme="minorEastAsia" w:cstheme="minorEastAsia"/>
                <w:color w:val="000000"/>
                <w:sz w:val="24"/>
                <w:szCs w:val="24"/>
              </w:rPr>
            </w:pPr>
          </w:p>
        </w:tc>
        <w:tc>
          <w:tcPr>
            <w:tcW w:w="7268" w:type="dxa"/>
            <w:vAlign w:val="center"/>
          </w:tcPr>
          <w:p w:rsidR="008C34A1" w:rsidRDefault="00940C85">
            <w:pPr>
              <w:adjustRightInd w:val="0"/>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简易结构，层高2.5米，双层，彩钢人字屋面、轻钢三角屋架、</w:t>
            </w:r>
            <w:proofErr w:type="gramStart"/>
            <w:r>
              <w:rPr>
                <w:rFonts w:asciiTheme="minorEastAsia" w:eastAsiaTheme="minorEastAsia" w:hAnsiTheme="minorEastAsia" w:cstheme="minorEastAsia" w:hint="eastAsia"/>
                <w:color w:val="000000"/>
                <w:sz w:val="24"/>
                <w:szCs w:val="24"/>
              </w:rPr>
              <w:t>一</w:t>
            </w:r>
            <w:proofErr w:type="gramEnd"/>
            <w:r>
              <w:rPr>
                <w:rFonts w:asciiTheme="minorEastAsia" w:eastAsiaTheme="minorEastAsia" w:hAnsiTheme="minorEastAsia" w:cstheme="minorEastAsia" w:hint="eastAsia"/>
                <w:color w:val="000000"/>
                <w:sz w:val="24"/>
                <w:szCs w:val="24"/>
              </w:rPr>
              <w:t>砖墙，条形基础，铝合金窗、铁门，前后明沟，内水泥地坪，设有鸽笼及喂料饮水系统。</w:t>
            </w:r>
          </w:p>
          <w:p w:rsidR="008C34A1" w:rsidRDefault="008C34A1">
            <w:pPr>
              <w:adjustRightInd w:val="0"/>
              <w:snapToGrid w:val="0"/>
              <w:spacing w:line="360" w:lineRule="auto"/>
              <w:ind w:firstLine="560"/>
              <w:rPr>
                <w:rFonts w:asciiTheme="minorEastAsia" w:eastAsiaTheme="minorEastAsia" w:hAnsiTheme="minorEastAsia" w:cstheme="minorEastAsia"/>
                <w:color w:val="000000"/>
                <w:sz w:val="24"/>
                <w:szCs w:val="24"/>
              </w:rPr>
            </w:pPr>
          </w:p>
          <w:p w:rsidR="008C34A1" w:rsidRDefault="00940C85">
            <w:pPr>
              <w:adjustRightInd w:val="0"/>
              <w:snapToGrid w:val="0"/>
              <w:spacing w:line="360" w:lineRule="auto"/>
              <w:ind w:firstLine="560"/>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专</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用</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备</w:t>
            </w:r>
          </w:p>
        </w:tc>
        <w:tc>
          <w:tcPr>
            <w:tcW w:w="7268" w:type="dxa"/>
            <w:vAlign w:val="center"/>
          </w:tcPr>
          <w:p w:rsidR="008C34A1" w:rsidRDefault="00940C85">
            <w:pPr>
              <w:adjustRightInd w:val="0"/>
              <w:snapToGrid w:val="0"/>
              <w:spacing w:line="360" w:lineRule="auto"/>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冷库、孵化机、鸽笼、污水处理设备、饲料加工机组、消毒机、取暖设施等</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附</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属</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设</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施</w:t>
            </w:r>
          </w:p>
        </w:tc>
        <w:tc>
          <w:tcPr>
            <w:tcW w:w="7268" w:type="dxa"/>
            <w:vAlign w:val="center"/>
          </w:tcPr>
          <w:p w:rsidR="008C34A1" w:rsidRDefault="00940C85">
            <w:pPr>
              <w:adjustRightInd w:val="0"/>
              <w:snapToGri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道路、围墙、场地、明沟、消毒池等。</w:t>
            </w:r>
          </w:p>
        </w:tc>
      </w:tr>
      <w:tr w:rsidR="008C34A1">
        <w:trPr>
          <w:trHeight w:val="1701"/>
        </w:trPr>
        <w:tc>
          <w:tcPr>
            <w:tcW w:w="1254" w:type="dxa"/>
            <w:vAlign w:val="center"/>
          </w:tcPr>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特</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proofErr w:type="gramStart"/>
            <w:r>
              <w:rPr>
                <w:rFonts w:asciiTheme="minorEastAsia" w:eastAsiaTheme="minorEastAsia" w:hAnsiTheme="minorEastAsia" w:cstheme="minorEastAsia" w:hint="eastAsia"/>
                <w:color w:val="000000"/>
                <w:sz w:val="24"/>
                <w:szCs w:val="24"/>
              </w:rPr>
              <w:t>殊</w:t>
            </w:r>
            <w:proofErr w:type="gramEnd"/>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项</w:t>
            </w:r>
          </w:p>
          <w:p w:rsidR="008C34A1" w:rsidRDefault="00940C85">
            <w:pPr>
              <w:adjustRightInd w:val="0"/>
              <w:snapToGrid w:val="0"/>
              <w:spacing w:line="360" w:lineRule="auto"/>
              <w:jc w:val="center"/>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目</w:t>
            </w:r>
          </w:p>
        </w:tc>
        <w:tc>
          <w:tcPr>
            <w:tcW w:w="7268" w:type="dxa"/>
            <w:vAlign w:val="center"/>
          </w:tcPr>
          <w:p w:rsidR="008C34A1" w:rsidRDefault="00940C85">
            <w:pPr>
              <w:adjustRightInd w:val="0"/>
              <w:snapToGrid w:val="0"/>
              <w:spacing w:line="360" w:lineRule="auto"/>
              <w:jc w:val="left"/>
              <w:rPr>
                <w:rFonts w:asciiTheme="minorEastAsia" w:eastAsiaTheme="minorEastAsia" w:hAnsiTheme="minorEastAsia" w:cstheme="minorEastAsia"/>
                <w:color w:val="000000"/>
                <w:sz w:val="24"/>
                <w:szCs w:val="24"/>
              </w:rPr>
            </w:pPr>
            <w:r>
              <w:rPr>
                <w:rFonts w:asciiTheme="minorEastAsia" w:eastAsiaTheme="minorEastAsia" w:hAnsiTheme="minorEastAsia" w:cstheme="minorEastAsia" w:hint="eastAsia"/>
                <w:color w:val="000000"/>
                <w:sz w:val="24"/>
                <w:szCs w:val="24"/>
              </w:rPr>
              <w:t xml:space="preserve">    各类鸽笼成套设施的评估，常规区分鸽笼方法1组为3层12笼位，含粪板及四件套，</w:t>
            </w:r>
            <w:proofErr w:type="gramStart"/>
            <w:r>
              <w:rPr>
                <w:rFonts w:asciiTheme="minorEastAsia" w:eastAsiaTheme="minorEastAsia" w:hAnsiTheme="minorEastAsia" w:cstheme="minorEastAsia" w:hint="eastAsia"/>
                <w:color w:val="000000"/>
                <w:sz w:val="24"/>
                <w:szCs w:val="24"/>
              </w:rPr>
              <w:t>每笼位为</w:t>
            </w:r>
            <w:proofErr w:type="gramEnd"/>
            <w:r>
              <w:rPr>
                <w:rFonts w:asciiTheme="minorEastAsia" w:eastAsiaTheme="minorEastAsia" w:hAnsiTheme="minorEastAsia" w:cstheme="minorEastAsia" w:hint="eastAsia"/>
                <w:color w:val="000000"/>
                <w:sz w:val="24"/>
                <w:szCs w:val="24"/>
              </w:rPr>
              <w:t>1对鸽。</w:t>
            </w:r>
          </w:p>
        </w:tc>
      </w:tr>
    </w:tbl>
    <w:p w:rsidR="008C34A1" w:rsidRDefault="008C34A1">
      <w:pPr>
        <w:adjustRightInd w:val="0"/>
        <w:snapToGrid w:val="0"/>
        <w:spacing w:line="360" w:lineRule="auto"/>
        <w:rPr>
          <w:rFonts w:asciiTheme="majorEastAsia" w:eastAsiaTheme="majorEastAsia" w:hAnsiTheme="majorEastAsia" w:cstheme="majorEastAsia"/>
          <w:sz w:val="28"/>
          <w:szCs w:val="28"/>
        </w:rPr>
      </w:pPr>
    </w:p>
    <w:p w:rsidR="008C34A1" w:rsidRPr="0005257C" w:rsidRDefault="00940C85" w:rsidP="0005257C">
      <w:pPr>
        <w:adjustRightInd w:val="0"/>
        <w:snapToGrid w:val="0"/>
        <w:spacing w:line="360" w:lineRule="auto"/>
        <w:ind w:firstLineChars="200" w:firstLine="643"/>
        <w:rPr>
          <w:rFonts w:ascii="仿宋_GB2312" w:eastAsia="仿宋_GB2312" w:hAnsiTheme="majorEastAsia" w:cstheme="majorEastAsia"/>
          <w:b/>
          <w:bCs/>
          <w:sz w:val="32"/>
          <w:szCs w:val="32"/>
        </w:rPr>
      </w:pPr>
      <w:r w:rsidRPr="0005257C">
        <w:rPr>
          <w:rFonts w:ascii="仿宋_GB2312" w:eastAsia="仿宋_GB2312" w:hAnsiTheme="majorEastAsia" w:cstheme="majorEastAsia" w:hint="eastAsia"/>
          <w:b/>
          <w:bCs/>
          <w:sz w:val="32"/>
          <w:szCs w:val="32"/>
        </w:rPr>
        <w:t>八、结语</w:t>
      </w:r>
    </w:p>
    <w:p w:rsidR="008C34A1" w:rsidRPr="0005257C" w:rsidRDefault="00940C85">
      <w:pPr>
        <w:adjustRightInd w:val="0"/>
        <w:snapToGrid w:val="0"/>
        <w:spacing w:line="360" w:lineRule="auto"/>
        <w:ind w:firstLine="560"/>
        <w:rPr>
          <w:rFonts w:ascii="仿宋_GB2312" w:eastAsia="仿宋_GB2312" w:hAnsiTheme="minorEastAsia" w:cstheme="minorEastAsia"/>
          <w:sz w:val="32"/>
          <w:szCs w:val="32"/>
        </w:rPr>
      </w:pPr>
      <w:r w:rsidRPr="0005257C">
        <w:rPr>
          <w:rFonts w:ascii="仿宋_GB2312" w:eastAsia="仿宋_GB2312" w:hAnsiTheme="minorEastAsia" w:cstheme="minorEastAsia" w:hint="eastAsia"/>
          <w:sz w:val="32"/>
          <w:szCs w:val="32"/>
        </w:rPr>
        <w:t>畜禽退养评估是一种特殊的评估项目，所涉及的建筑物、设施、设备都根据养殖对象的不同有很大区别，且每一种养殖门类都有其特殊的设施、设备，其种类繁杂，用途各异，如果没有预先充分的学习和认知，查阅相关专业资料，向专业畜牧养殖技术人员学习请教，很多专业性很强的设备、设</w:t>
      </w:r>
      <w:r w:rsidRPr="0005257C">
        <w:rPr>
          <w:rFonts w:ascii="仿宋_GB2312" w:eastAsia="仿宋_GB2312" w:hAnsiTheme="minorEastAsia" w:cstheme="minorEastAsia" w:hint="eastAsia"/>
          <w:sz w:val="32"/>
          <w:szCs w:val="32"/>
        </w:rPr>
        <w:lastRenderedPageBreak/>
        <w:t>施我们评估人员就不认识，可能连基本概念和原理都不知道，不能体现我们的专业性，也得不到被评估人的尊重，我们通过大量研究总结，整理出一套评估畜禽养殖类估价对象的技术标准和操作规范，基本能对上海本地或周边的养殖类型能做到覆盖，不存在大的盲点，当然，在制定评估标准时我们发现，由于畜禽养殖和地区、气候差异关系很大，南方和北方在养殖方式和采用设备上差异很大，所以，并不能跨区域完全照搬。</w:t>
      </w:r>
    </w:p>
    <w:p w:rsidR="008C34A1" w:rsidRPr="0005257C" w:rsidRDefault="008C34A1">
      <w:pPr>
        <w:adjustRightInd w:val="0"/>
        <w:snapToGrid w:val="0"/>
        <w:spacing w:line="360" w:lineRule="auto"/>
        <w:ind w:firstLine="560"/>
        <w:rPr>
          <w:rFonts w:ascii="仿宋_GB2312" w:eastAsia="仿宋_GB2312" w:hAnsiTheme="majorEastAsia" w:cstheme="majorEastAsia"/>
          <w:sz w:val="32"/>
          <w:szCs w:val="32"/>
        </w:rPr>
      </w:pPr>
    </w:p>
    <w:p w:rsidR="008C34A1" w:rsidRPr="0005257C" w:rsidRDefault="00940C85">
      <w:pPr>
        <w:adjustRightInd w:val="0"/>
        <w:snapToGrid w:val="0"/>
        <w:spacing w:line="360" w:lineRule="auto"/>
        <w:rPr>
          <w:rFonts w:ascii="仿宋_GB2312" w:eastAsia="仿宋_GB2312" w:hAnsiTheme="minorEastAsia" w:cstheme="minorEastAsia"/>
          <w:sz w:val="32"/>
          <w:szCs w:val="32"/>
        </w:rPr>
      </w:pPr>
      <w:r w:rsidRPr="0005257C">
        <w:rPr>
          <w:rFonts w:ascii="仿宋_GB2312" w:eastAsia="仿宋_GB2312" w:hAnsiTheme="minorEastAsia" w:cstheme="minorEastAsia" w:hint="eastAsia"/>
          <w:sz w:val="32"/>
          <w:szCs w:val="32"/>
        </w:rPr>
        <w:t>参考文献：</w:t>
      </w:r>
    </w:p>
    <w:p w:rsidR="008C34A1" w:rsidRPr="0005257C" w:rsidRDefault="00940C85">
      <w:pPr>
        <w:adjustRightInd w:val="0"/>
        <w:snapToGrid w:val="0"/>
        <w:spacing w:line="360" w:lineRule="auto"/>
        <w:rPr>
          <w:rFonts w:ascii="仿宋_GB2312" w:eastAsia="仿宋_GB2312" w:hAnsiTheme="minorEastAsia" w:cstheme="minorEastAsia"/>
          <w:sz w:val="32"/>
          <w:szCs w:val="32"/>
        </w:rPr>
      </w:pPr>
      <w:r w:rsidRPr="0005257C">
        <w:rPr>
          <w:rFonts w:ascii="仿宋_GB2312" w:eastAsia="仿宋_GB2312" w:hAnsiTheme="minorEastAsia" w:cstheme="minorEastAsia" w:hint="eastAsia"/>
          <w:sz w:val="32"/>
          <w:szCs w:val="32"/>
        </w:rPr>
        <w:t>《浦东新区畜禽退养工作指南》</w:t>
      </w:r>
    </w:p>
    <w:p w:rsidR="008C34A1" w:rsidRPr="0005257C" w:rsidRDefault="008C34A1">
      <w:pPr>
        <w:adjustRightInd w:val="0"/>
        <w:snapToGrid w:val="0"/>
        <w:spacing w:line="360" w:lineRule="auto"/>
        <w:rPr>
          <w:rFonts w:ascii="仿宋_GB2312" w:eastAsia="仿宋_GB2312" w:hAnsiTheme="minorEastAsia" w:cstheme="minorEastAsia"/>
          <w:sz w:val="32"/>
          <w:szCs w:val="32"/>
        </w:rPr>
      </w:pPr>
    </w:p>
    <w:p w:rsidR="008C34A1" w:rsidRDefault="002B30FC">
      <w:pPr>
        <w:adjustRightInd w:val="0"/>
        <w:snapToGrid w:val="0"/>
        <w:spacing w:line="360" w:lineRule="auto"/>
        <w:jc w:val="left"/>
        <w:rPr>
          <w:rFonts w:ascii="仿宋_GB2312" w:eastAsia="仿宋_GB2312" w:hAnsiTheme="majorEastAsia" w:cstheme="majorEastAsia"/>
          <w:b/>
          <w:bCs/>
          <w:sz w:val="32"/>
          <w:szCs w:val="32"/>
        </w:rPr>
      </w:pPr>
      <w:r>
        <w:rPr>
          <w:rFonts w:ascii="仿宋_GB2312" w:eastAsia="仿宋_GB2312" w:hAnsiTheme="majorEastAsia" w:cstheme="majorEastAsia" w:hint="eastAsia"/>
          <w:b/>
          <w:bCs/>
          <w:sz w:val="32"/>
          <w:szCs w:val="32"/>
        </w:rPr>
        <w:t xml:space="preserve"> </w:t>
      </w:r>
    </w:p>
    <w:p w:rsidR="002B30FC" w:rsidRPr="002B30FC" w:rsidRDefault="002B30FC" w:rsidP="002B30FC">
      <w:pPr>
        <w:adjustRightInd w:val="0"/>
        <w:snapToGrid w:val="0"/>
        <w:spacing w:line="360" w:lineRule="auto"/>
        <w:jc w:val="right"/>
        <w:rPr>
          <w:rFonts w:ascii="仿宋_GB2312" w:eastAsia="仿宋_GB2312" w:hAnsiTheme="majorEastAsia" w:cstheme="majorEastAsia"/>
          <w:bCs/>
          <w:sz w:val="28"/>
          <w:szCs w:val="28"/>
        </w:rPr>
      </w:pPr>
      <w:r w:rsidRPr="002B30FC">
        <w:rPr>
          <w:rFonts w:ascii="仿宋_GB2312" w:eastAsia="仿宋_GB2312" w:hAnsiTheme="majorEastAsia" w:cstheme="majorEastAsia" w:hint="eastAsia"/>
          <w:bCs/>
          <w:sz w:val="28"/>
          <w:szCs w:val="28"/>
        </w:rPr>
        <w:t>（作者单位：上海港城房地产土地估价有限公司）</w:t>
      </w:r>
    </w:p>
    <w:sectPr w:rsidR="002B30FC" w:rsidRPr="002B30F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3AF" w:rsidRDefault="00D223AF" w:rsidP="005F7738">
      <w:r>
        <w:separator/>
      </w:r>
    </w:p>
  </w:endnote>
  <w:endnote w:type="continuationSeparator" w:id="0">
    <w:p w:rsidR="00D223AF" w:rsidRDefault="00D223AF" w:rsidP="005F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84872"/>
      <w:docPartObj>
        <w:docPartGallery w:val="Page Numbers (Bottom of Page)"/>
        <w:docPartUnique/>
      </w:docPartObj>
    </w:sdtPr>
    <w:sdtEndPr/>
    <w:sdtContent>
      <w:p w:rsidR="005F7738" w:rsidRDefault="005F7738">
        <w:pPr>
          <w:pStyle w:val="a7"/>
          <w:jc w:val="center"/>
        </w:pPr>
        <w:r>
          <w:fldChar w:fldCharType="begin"/>
        </w:r>
        <w:r>
          <w:instrText>PAGE   \* MERGEFORMAT</w:instrText>
        </w:r>
        <w:r>
          <w:fldChar w:fldCharType="separate"/>
        </w:r>
        <w:r w:rsidR="007462B3" w:rsidRPr="007462B3">
          <w:rPr>
            <w:noProof/>
            <w:lang w:val="zh-CN"/>
          </w:rPr>
          <w:t>2</w:t>
        </w:r>
        <w:r>
          <w:fldChar w:fldCharType="end"/>
        </w:r>
      </w:p>
    </w:sdtContent>
  </w:sdt>
  <w:p w:rsidR="005F7738" w:rsidRDefault="005F77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3AF" w:rsidRDefault="00D223AF" w:rsidP="005F7738">
      <w:r>
        <w:separator/>
      </w:r>
    </w:p>
  </w:footnote>
  <w:footnote w:type="continuationSeparator" w:id="0">
    <w:p w:rsidR="00D223AF" w:rsidRDefault="00D223AF" w:rsidP="005F7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008D4"/>
    <w:multiLevelType w:val="singleLevel"/>
    <w:tmpl w:val="597008D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CE2"/>
    <w:rsid w:val="0005257C"/>
    <w:rsid w:val="0015203C"/>
    <w:rsid w:val="001D6AEE"/>
    <w:rsid w:val="00252DAB"/>
    <w:rsid w:val="00264764"/>
    <w:rsid w:val="00282CE2"/>
    <w:rsid w:val="00283985"/>
    <w:rsid w:val="002B30FC"/>
    <w:rsid w:val="002F3CAB"/>
    <w:rsid w:val="00372045"/>
    <w:rsid w:val="00402F7E"/>
    <w:rsid w:val="00475D94"/>
    <w:rsid w:val="00531917"/>
    <w:rsid w:val="0053670C"/>
    <w:rsid w:val="00563A38"/>
    <w:rsid w:val="00594349"/>
    <w:rsid w:val="005F7738"/>
    <w:rsid w:val="0062304B"/>
    <w:rsid w:val="006462F4"/>
    <w:rsid w:val="00744653"/>
    <w:rsid w:val="007462B3"/>
    <w:rsid w:val="00880660"/>
    <w:rsid w:val="00896174"/>
    <w:rsid w:val="008C34A1"/>
    <w:rsid w:val="00940C85"/>
    <w:rsid w:val="0099770C"/>
    <w:rsid w:val="009D78F6"/>
    <w:rsid w:val="009D7BC5"/>
    <w:rsid w:val="00A72BD8"/>
    <w:rsid w:val="00AF2CEF"/>
    <w:rsid w:val="00C03D66"/>
    <w:rsid w:val="00C51129"/>
    <w:rsid w:val="00D145A7"/>
    <w:rsid w:val="00D223AF"/>
    <w:rsid w:val="00DB330C"/>
    <w:rsid w:val="00E341D6"/>
    <w:rsid w:val="00FB100F"/>
    <w:rsid w:val="00FC6B65"/>
    <w:rsid w:val="00FD36BF"/>
    <w:rsid w:val="01784F0B"/>
    <w:rsid w:val="02F17116"/>
    <w:rsid w:val="036349C2"/>
    <w:rsid w:val="04662AFF"/>
    <w:rsid w:val="05311DDA"/>
    <w:rsid w:val="06D952AD"/>
    <w:rsid w:val="071F0F05"/>
    <w:rsid w:val="07586F8F"/>
    <w:rsid w:val="07B636F8"/>
    <w:rsid w:val="07D808DB"/>
    <w:rsid w:val="08184DD2"/>
    <w:rsid w:val="08426054"/>
    <w:rsid w:val="08F31BBD"/>
    <w:rsid w:val="093966B3"/>
    <w:rsid w:val="094F04BC"/>
    <w:rsid w:val="09F17420"/>
    <w:rsid w:val="0C066827"/>
    <w:rsid w:val="0C921ECE"/>
    <w:rsid w:val="0CA5715C"/>
    <w:rsid w:val="0D722B8A"/>
    <w:rsid w:val="0D9F7007"/>
    <w:rsid w:val="0DFD1EDA"/>
    <w:rsid w:val="0E00154F"/>
    <w:rsid w:val="0EEF4DC3"/>
    <w:rsid w:val="0EFE589D"/>
    <w:rsid w:val="0F141F2B"/>
    <w:rsid w:val="0F9D7888"/>
    <w:rsid w:val="0FDF1FD1"/>
    <w:rsid w:val="10E472AA"/>
    <w:rsid w:val="115C4BEF"/>
    <w:rsid w:val="14184EA9"/>
    <w:rsid w:val="156659BE"/>
    <w:rsid w:val="16B262E5"/>
    <w:rsid w:val="18B51CBF"/>
    <w:rsid w:val="1B327E15"/>
    <w:rsid w:val="1BBF26F5"/>
    <w:rsid w:val="1CB60172"/>
    <w:rsid w:val="1E454519"/>
    <w:rsid w:val="1E8A0C64"/>
    <w:rsid w:val="1F7A100C"/>
    <w:rsid w:val="20334EFC"/>
    <w:rsid w:val="218C4B91"/>
    <w:rsid w:val="218C554C"/>
    <w:rsid w:val="238F5B66"/>
    <w:rsid w:val="24566701"/>
    <w:rsid w:val="24B94EE3"/>
    <w:rsid w:val="25874872"/>
    <w:rsid w:val="268A15E8"/>
    <w:rsid w:val="26A93FBD"/>
    <w:rsid w:val="27562066"/>
    <w:rsid w:val="27740FBF"/>
    <w:rsid w:val="2C994AE3"/>
    <w:rsid w:val="2D945CDB"/>
    <w:rsid w:val="2E4E1EBE"/>
    <w:rsid w:val="2EB0653B"/>
    <w:rsid w:val="2F0A0817"/>
    <w:rsid w:val="30A62332"/>
    <w:rsid w:val="31580D93"/>
    <w:rsid w:val="31C417F7"/>
    <w:rsid w:val="32211F77"/>
    <w:rsid w:val="326D5DA5"/>
    <w:rsid w:val="340E3AD2"/>
    <w:rsid w:val="343306E9"/>
    <w:rsid w:val="34461158"/>
    <w:rsid w:val="35520498"/>
    <w:rsid w:val="35DB3772"/>
    <w:rsid w:val="38637BE1"/>
    <w:rsid w:val="3ADE4B14"/>
    <w:rsid w:val="3AF07A94"/>
    <w:rsid w:val="3B11508F"/>
    <w:rsid w:val="3B1A342D"/>
    <w:rsid w:val="3B494A50"/>
    <w:rsid w:val="3D412B74"/>
    <w:rsid w:val="3DA937F0"/>
    <w:rsid w:val="3DD47CEC"/>
    <w:rsid w:val="3E3347F1"/>
    <w:rsid w:val="3F6E006B"/>
    <w:rsid w:val="41A420F9"/>
    <w:rsid w:val="429D5EB6"/>
    <w:rsid w:val="43A160ED"/>
    <w:rsid w:val="43D75F33"/>
    <w:rsid w:val="44341D43"/>
    <w:rsid w:val="44D22123"/>
    <w:rsid w:val="45343909"/>
    <w:rsid w:val="45902B0E"/>
    <w:rsid w:val="45F17C3D"/>
    <w:rsid w:val="46AC5088"/>
    <w:rsid w:val="47ED51B3"/>
    <w:rsid w:val="481D1012"/>
    <w:rsid w:val="484B6AF0"/>
    <w:rsid w:val="4A622AFB"/>
    <w:rsid w:val="4A9A5965"/>
    <w:rsid w:val="4B001156"/>
    <w:rsid w:val="4C215B70"/>
    <w:rsid w:val="4DB9166F"/>
    <w:rsid w:val="4FBA248D"/>
    <w:rsid w:val="51B472ED"/>
    <w:rsid w:val="526150BD"/>
    <w:rsid w:val="52813AC0"/>
    <w:rsid w:val="52876C85"/>
    <w:rsid w:val="528E630C"/>
    <w:rsid w:val="530D4806"/>
    <w:rsid w:val="53462F5D"/>
    <w:rsid w:val="551579C8"/>
    <w:rsid w:val="56650DE2"/>
    <w:rsid w:val="566A229D"/>
    <w:rsid w:val="573F1C4E"/>
    <w:rsid w:val="57925F4A"/>
    <w:rsid w:val="57A91CE0"/>
    <w:rsid w:val="59215653"/>
    <w:rsid w:val="59306659"/>
    <w:rsid w:val="59A53D7D"/>
    <w:rsid w:val="5AB14BA0"/>
    <w:rsid w:val="5B326232"/>
    <w:rsid w:val="5C17313D"/>
    <w:rsid w:val="5C1B54E3"/>
    <w:rsid w:val="5D010846"/>
    <w:rsid w:val="5D5905D8"/>
    <w:rsid w:val="5F662D58"/>
    <w:rsid w:val="5F8023AF"/>
    <w:rsid w:val="5FAE1E14"/>
    <w:rsid w:val="5FE023F2"/>
    <w:rsid w:val="5FF52C0A"/>
    <w:rsid w:val="61807CBC"/>
    <w:rsid w:val="639C42D1"/>
    <w:rsid w:val="64071A7B"/>
    <w:rsid w:val="64531AB3"/>
    <w:rsid w:val="64B665EB"/>
    <w:rsid w:val="65BD4030"/>
    <w:rsid w:val="66101A11"/>
    <w:rsid w:val="68145EBE"/>
    <w:rsid w:val="6940233A"/>
    <w:rsid w:val="695A0321"/>
    <w:rsid w:val="699A1BAA"/>
    <w:rsid w:val="6A5A76C8"/>
    <w:rsid w:val="6B36115C"/>
    <w:rsid w:val="6B9C4BDC"/>
    <w:rsid w:val="6BED7B52"/>
    <w:rsid w:val="6D03062F"/>
    <w:rsid w:val="6DCC0824"/>
    <w:rsid w:val="6EA86B43"/>
    <w:rsid w:val="6F80049D"/>
    <w:rsid w:val="6F82229B"/>
    <w:rsid w:val="6FD42B94"/>
    <w:rsid w:val="70F80581"/>
    <w:rsid w:val="72D20353"/>
    <w:rsid w:val="72DB162B"/>
    <w:rsid w:val="72FC75AB"/>
    <w:rsid w:val="759D1926"/>
    <w:rsid w:val="75F77877"/>
    <w:rsid w:val="76D44A3E"/>
    <w:rsid w:val="770E768A"/>
    <w:rsid w:val="776C5814"/>
    <w:rsid w:val="7847543E"/>
    <w:rsid w:val="78B42D67"/>
    <w:rsid w:val="7B516A94"/>
    <w:rsid w:val="7B9138D3"/>
    <w:rsid w:val="7BD85812"/>
    <w:rsid w:val="7C771C40"/>
    <w:rsid w:val="7E23503E"/>
    <w:rsid w:val="7E572867"/>
    <w:rsid w:val="7FF73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389EA64-14CE-4E62-A7E9-D2C9D69D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kern w:val="0"/>
      <w:sz w:val="24"/>
      <w:szCs w:val="24"/>
    </w:rPr>
  </w:style>
  <w:style w:type="table" w:styleId="a4">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F77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F7738"/>
    <w:rPr>
      <w:rFonts w:cs="Calibri"/>
      <w:kern w:val="2"/>
      <w:sz w:val="18"/>
      <w:szCs w:val="18"/>
    </w:rPr>
  </w:style>
  <w:style w:type="paragraph" w:styleId="a7">
    <w:name w:val="footer"/>
    <w:basedOn w:val="a"/>
    <w:link w:val="a8"/>
    <w:uiPriority w:val="99"/>
    <w:unhideWhenUsed/>
    <w:rsid w:val="005F7738"/>
    <w:pPr>
      <w:tabs>
        <w:tab w:val="center" w:pos="4153"/>
        <w:tab w:val="right" w:pos="8306"/>
      </w:tabs>
      <w:snapToGrid w:val="0"/>
      <w:jc w:val="left"/>
    </w:pPr>
    <w:rPr>
      <w:sz w:val="18"/>
      <w:szCs w:val="18"/>
    </w:rPr>
  </w:style>
  <w:style w:type="character" w:customStyle="1" w:styleId="a8">
    <w:name w:val="页脚 字符"/>
    <w:basedOn w:val="a0"/>
    <w:link w:val="a7"/>
    <w:uiPriority w:val="99"/>
    <w:rsid w:val="005F7738"/>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2700</Words>
  <Characters>2728</Characters>
  <Application>Microsoft Office Word</Application>
  <DocSecurity>0</DocSecurity>
  <Lines>181</Lines>
  <Paragraphs>142</Paragraphs>
  <ScaleCrop>false</ScaleCrop>
  <Company>China</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linling Gong</cp:lastModifiedBy>
  <cp:revision>18</cp:revision>
  <dcterms:created xsi:type="dcterms:W3CDTF">2014-10-29T12:08:00Z</dcterms:created>
  <dcterms:modified xsi:type="dcterms:W3CDTF">2017-12-04T01:55:00Z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