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137" w:rsidRPr="0007096F" w:rsidRDefault="009003BA" w:rsidP="0047041F">
      <w:pPr>
        <w:jc w:val="center"/>
        <w:rPr>
          <w:rFonts w:ascii="黑体" w:eastAsia="黑体" w:hAnsi="黑体"/>
          <w:sz w:val="44"/>
          <w:szCs w:val="44"/>
        </w:rPr>
      </w:pPr>
      <w:r w:rsidRPr="0007096F">
        <w:rPr>
          <w:rFonts w:ascii="黑体" w:eastAsia="黑体" w:hAnsi="黑体" w:hint="eastAsia"/>
          <w:sz w:val="44"/>
          <w:szCs w:val="44"/>
        </w:rPr>
        <w:t>基于</w:t>
      </w:r>
      <w:r w:rsidR="0047041F" w:rsidRPr="0007096F">
        <w:rPr>
          <w:rFonts w:ascii="黑体" w:eastAsia="黑体" w:hAnsi="黑体" w:hint="eastAsia"/>
          <w:sz w:val="44"/>
          <w:szCs w:val="44"/>
        </w:rPr>
        <w:t>供给</w:t>
      </w:r>
      <w:r w:rsidRPr="0007096F">
        <w:rPr>
          <w:rFonts w:ascii="黑体" w:eastAsia="黑体" w:hAnsi="黑体" w:hint="eastAsia"/>
          <w:sz w:val="44"/>
          <w:szCs w:val="44"/>
        </w:rPr>
        <w:t>侧的</w:t>
      </w:r>
      <w:r w:rsidR="00795D4E" w:rsidRPr="0007096F">
        <w:rPr>
          <w:rFonts w:ascii="黑体" w:eastAsia="黑体" w:hAnsi="黑体" w:hint="eastAsia"/>
          <w:sz w:val="44"/>
          <w:szCs w:val="44"/>
        </w:rPr>
        <w:t>上海房地产市场</w:t>
      </w:r>
      <w:r w:rsidRPr="0007096F">
        <w:rPr>
          <w:rFonts w:ascii="黑体" w:eastAsia="黑体" w:hAnsi="黑体" w:hint="eastAsia"/>
          <w:sz w:val="44"/>
          <w:szCs w:val="44"/>
        </w:rPr>
        <w:t>敏感性</w:t>
      </w:r>
      <w:r w:rsidR="00795D4E" w:rsidRPr="0007096F">
        <w:rPr>
          <w:rFonts w:ascii="黑体" w:eastAsia="黑体" w:hAnsi="黑体" w:hint="eastAsia"/>
          <w:sz w:val="44"/>
          <w:szCs w:val="44"/>
        </w:rPr>
        <w:t>分析</w:t>
      </w:r>
    </w:p>
    <w:p w:rsidR="00B42832" w:rsidRDefault="00B42832" w:rsidP="00AA759D">
      <w:pPr>
        <w:widowControl/>
        <w:spacing w:line="360" w:lineRule="auto"/>
        <w:jc w:val="center"/>
        <w:rPr>
          <w:rFonts w:asciiTheme="minorEastAsia" w:hAnsiTheme="minorEastAsia"/>
          <w:sz w:val="24"/>
          <w:szCs w:val="24"/>
        </w:rPr>
      </w:pPr>
    </w:p>
    <w:p w:rsidR="0007096F" w:rsidRPr="0007096F" w:rsidRDefault="0007096F" w:rsidP="0007096F">
      <w:pPr>
        <w:widowControl/>
        <w:spacing w:line="360" w:lineRule="auto"/>
        <w:jc w:val="center"/>
        <w:rPr>
          <w:rFonts w:ascii="仿宋_GB2312" w:eastAsia="仿宋_GB2312" w:hAnsiTheme="minorEastAsia"/>
          <w:sz w:val="32"/>
          <w:szCs w:val="32"/>
        </w:rPr>
      </w:pPr>
      <w:r w:rsidRPr="0007096F">
        <w:rPr>
          <w:rFonts w:ascii="仿宋_GB2312" w:eastAsia="仿宋_GB2312" w:hAnsiTheme="minorEastAsia" w:hint="eastAsia"/>
          <w:sz w:val="32"/>
          <w:szCs w:val="32"/>
        </w:rPr>
        <w:t>潘怡</w:t>
      </w:r>
      <w:r w:rsidR="001771ED">
        <w:rPr>
          <w:rFonts w:ascii="微软雅黑" w:eastAsia="微软雅黑" w:hAnsi="微软雅黑" w:cs="微软雅黑" w:hint="eastAsia"/>
          <w:sz w:val="32"/>
          <w:szCs w:val="32"/>
        </w:rPr>
        <w:t>珣</w:t>
      </w:r>
      <w:r w:rsidRPr="0007096F">
        <w:rPr>
          <w:rFonts w:ascii="仿宋_GB2312" w:eastAsia="仿宋_GB2312" w:hAnsiTheme="minorEastAsia" w:hint="eastAsia"/>
          <w:sz w:val="32"/>
          <w:szCs w:val="32"/>
        </w:rPr>
        <w:t xml:space="preserve"> 陈嵘</w:t>
      </w:r>
    </w:p>
    <w:p w:rsidR="00B42832" w:rsidRPr="00F63F16" w:rsidRDefault="00B42832" w:rsidP="00AA759D">
      <w:pPr>
        <w:widowControl/>
        <w:spacing w:line="360" w:lineRule="auto"/>
        <w:jc w:val="center"/>
        <w:rPr>
          <w:rFonts w:ascii="仿宋_GB2312" w:eastAsia="仿宋_GB2312" w:hAnsiTheme="minorEastAsia"/>
          <w:sz w:val="32"/>
          <w:szCs w:val="32"/>
        </w:rPr>
      </w:pPr>
    </w:p>
    <w:p w:rsidR="009003BA" w:rsidRPr="0007096F" w:rsidRDefault="0007096F" w:rsidP="0007096F">
      <w:pPr>
        <w:widowControl/>
        <w:spacing w:line="360" w:lineRule="auto"/>
        <w:rPr>
          <w:rFonts w:ascii="仿宋_GB2312" w:eastAsia="仿宋_GB2312"/>
          <w:sz w:val="32"/>
          <w:szCs w:val="32"/>
        </w:rPr>
      </w:pPr>
      <w:r w:rsidRPr="0007096F">
        <w:rPr>
          <w:rFonts w:ascii="仿宋_GB2312" w:eastAsia="仿宋_GB2312" w:hint="eastAsia"/>
          <w:b/>
          <w:sz w:val="32"/>
          <w:szCs w:val="32"/>
        </w:rPr>
        <w:t>【摘要】</w:t>
      </w:r>
      <w:r w:rsidR="0094472A" w:rsidRPr="0007096F">
        <w:rPr>
          <w:rFonts w:ascii="仿宋_GB2312" w:eastAsia="仿宋_GB2312" w:hint="eastAsia"/>
          <w:sz w:val="32"/>
          <w:szCs w:val="32"/>
        </w:rPr>
        <w:t>房地产市场的供给侧核心</w:t>
      </w:r>
      <w:r w:rsidR="009003BA" w:rsidRPr="0007096F">
        <w:rPr>
          <w:rFonts w:ascii="仿宋_GB2312" w:eastAsia="仿宋_GB2312" w:hint="eastAsia"/>
          <w:sz w:val="32"/>
          <w:szCs w:val="32"/>
        </w:rPr>
        <w:t>因素是有效的土地供应，需求侧调控并不能在根本上抑制房价上涨，在国家供给侧改革的大背景下，</w:t>
      </w:r>
      <w:r w:rsidR="00916AE3" w:rsidRPr="0007096F">
        <w:rPr>
          <w:rFonts w:ascii="仿宋_GB2312" w:eastAsia="仿宋_GB2312" w:hint="eastAsia"/>
          <w:sz w:val="32"/>
          <w:szCs w:val="32"/>
        </w:rPr>
        <w:t>通过梳理近年来上海土地供应的变化，</w:t>
      </w:r>
      <w:r w:rsidR="009003BA" w:rsidRPr="0007096F">
        <w:rPr>
          <w:rFonts w:ascii="仿宋_GB2312" w:eastAsia="仿宋_GB2312" w:hint="eastAsia"/>
          <w:sz w:val="32"/>
          <w:szCs w:val="32"/>
        </w:rPr>
        <w:t>有效地利用土地供应信息，挖掘土地供给与房地产市场之间的内在联系，分析土地供应总量、供应政策、供应结构</w:t>
      </w:r>
      <w:r w:rsidR="004A21A6" w:rsidRPr="0007096F">
        <w:rPr>
          <w:rFonts w:ascii="仿宋_GB2312" w:eastAsia="仿宋_GB2312" w:hint="eastAsia"/>
          <w:sz w:val="32"/>
          <w:szCs w:val="32"/>
        </w:rPr>
        <w:t>、供应方式</w:t>
      </w:r>
      <w:r w:rsidR="009003BA" w:rsidRPr="0007096F">
        <w:rPr>
          <w:rFonts w:ascii="仿宋_GB2312" w:eastAsia="仿宋_GB2312" w:hint="eastAsia"/>
          <w:sz w:val="32"/>
          <w:szCs w:val="32"/>
        </w:rPr>
        <w:t>等对房地产市场的影响规律和内在机理，研究合理土地供应</w:t>
      </w:r>
      <w:r w:rsidR="00916AE3" w:rsidRPr="0007096F">
        <w:rPr>
          <w:rFonts w:ascii="仿宋_GB2312" w:eastAsia="仿宋_GB2312" w:hint="eastAsia"/>
          <w:sz w:val="32"/>
          <w:szCs w:val="32"/>
        </w:rPr>
        <w:t>结构，为上海房地产市场健康发展提出可行性</w:t>
      </w:r>
      <w:r w:rsidR="009003BA" w:rsidRPr="0007096F">
        <w:rPr>
          <w:rFonts w:ascii="仿宋_GB2312" w:eastAsia="仿宋_GB2312" w:hint="eastAsia"/>
          <w:sz w:val="32"/>
          <w:szCs w:val="32"/>
        </w:rPr>
        <w:t>建议。</w:t>
      </w:r>
    </w:p>
    <w:p w:rsidR="009003BA" w:rsidRPr="0007096F" w:rsidRDefault="0007096F" w:rsidP="0007096F">
      <w:pPr>
        <w:widowControl/>
        <w:spacing w:line="360" w:lineRule="auto"/>
        <w:rPr>
          <w:rFonts w:ascii="仿宋_GB2312" w:eastAsia="仿宋_GB2312"/>
          <w:b/>
          <w:sz w:val="32"/>
          <w:szCs w:val="32"/>
        </w:rPr>
      </w:pPr>
      <w:r w:rsidRPr="0007096F">
        <w:rPr>
          <w:rFonts w:ascii="仿宋_GB2312" w:eastAsia="仿宋_GB2312" w:hint="eastAsia"/>
          <w:b/>
          <w:sz w:val="32"/>
          <w:szCs w:val="32"/>
        </w:rPr>
        <w:t>【关键词】</w:t>
      </w:r>
      <w:r w:rsidR="00916AE3" w:rsidRPr="0007096F">
        <w:rPr>
          <w:rFonts w:ascii="仿宋_GB2312" w:eastAsia="仿宋_GB2312" w:hint="eastAsia"/>
          <w:sz w:val="32"/>
          <w:szCs w:val="32"/>
        </w:rPr>
        <w:t xml:space="preserve">土地供应  上海  房地产 </w:t>
      </w:r>
    </w:p>
    <w:p w:rsidR="0023345B" w:rsidRPr="0007096F" w:rsidRDefault="0023345B" w:rsidP="0047041F">
      <w:pPr>
        <w:widowControl/>
        <w:spacing w:line="360" w:lineRule="auto"/>
        <w:ind w:firstLineChars="200" w:firstLine="643"/>
        <w:rPr>
          <w:rFonts w:ascii="仿宋_GB2312" w:eastAsia="仿宋_GB2312"/>
          <w:b/>
          <w:sz w:val="32"/>
          <w:szCs w:val="32"/>
        </w:rPr>
      </w:pPr>
    </w:p>
    <w:p w:rsidR="00D41ED9" w:rsidRPr="0007096F" w:rsidRDefault="00AE4973" w:rsidP="0007096F">
      <w:pPr>
        <w:widowControl/>
        <w:spacing w:line="360" w:lineRule="auto"/>
        <w:ind w:firstLineChars="200" w:firstLine="643"/>
        <w:rPr>
          <w:rFonts w:ascii="仿宋_GB2312" w:eastAsia="仿宋_GB2312" w:hAnsiTheme="minorEastAsia"/>
          <w:b/>
          <w:sz w:val="32"/>
          <w:szCs w:val="32"/>
        </w:rPr>
      </w:pPr>
      <w:r w:rsidRPr="0007096F">
        <w:rPr>
          <w:rFonts w:ascii="仿宋_GB2312" w:eastAsia="仿宋_GB2312" w:hAnsiTheme="minorEastAsia" w:hint="eastAsia"/>
          <w:b/>
          <w:sz w:val="32"/>
          <w:szCs w:val="32"/>
        </w:rPr>
        <w:t>一</w:t>
      </w:r>
      <w:r w:rsidR="0047041F" w:rsidRPr="0007096F">
        <w:rPr>
          <w:rFonts w:ascii="仿宋_GB2312" w:eastAsia="仿宋_GB2312" w:hAnsiTheme="minorEastAsia" w:hint="eastAsia"/>
          <w:b/>
          <w:sz w:val="32"/>
          <w:szCs w:val="32"/>
        </w:rPr>
        <w:t>、</w:t>
      </w:r>
      <w:r w:rsidR="0023345B" w:rsidRPr="0007096F">
        <w:rPr>
          <w:rFonts w:ascii="仿宋_GB2312" w:eastAsia="仿宋_GB2312" w:hAnsiTheme="minorEastAsia" w:hint="eastAsia"/>
          <w:b/>
          <w:sz w:val="32"/>
          <w:szCs w:val="32"/>
        </w:rPr>
        <w:t>概述</w:t>
      </w:r>
    </w:p>
    <w:p w:rsidR="00D634E5" w:rsidRPr="0007096F" w:rsidRDefault="00D634E5" w:rsidP="00B42832">
      <w:pPr>
        <w:widowControl/>
        <w:spacing w:line="360" w:lineRule="auto"/>
        <w:ind w:firstLineChars="200" w:firstLine="640"/>
        <w:rPr>
          <w:rFonts w:ascii="仿宋_GB2312" w:eastAsia="仿宋_GB2312" w:hAnsiTheme="minorEastAsia"/>
          <w:sz w:val="32"/>
          <w:szCs w:val="32"/>
        </w:rPr>
      </w:pPr>
      <w:r w:rsidRPr="0007096F">
        <w:rPr>
          <w:rFonts w:ascii="仿宋_GB2312" w:eastAsia="仿宋_GB2312" w:hAnsiTheme="minorEastAsia" w:hint="eastAsia"/>
          <w:sz w:val="32"/>
          <w:szCs w:val="32"/>
        </w:rPr>
        <w:t>房地产市场的主要影响因素包括供给和需求两方面，需求侧的代表性指标包括人口、居民收入，广义货币增长等，供给侧有诸多要素，在我国大城市，土地供应是最好的代表性指标，关于土地供给对房地产市场和住宅价格的影响，近年来多位学者在不同区域、不同发展阶段做了许多建设性的研究，发表了不同的观点。Peng和Wheaton（1994）以香港为例分析了土地供给限制会引起更高的住房价格。但是李如海，甘博（2002）、胡睿宪（2003）、黄绿筠（2005）等提出</w:t>
      </w:r>
      <w:r w:rsidRPr="0007096F">
        <w:rPr>
          <w:rFonts w:ascii="仿宋_GB2312" w:eastAsia="仿宋_GB2312" w:hAnsiTheme="minorEastAsia" w:hint="eastAsia"/>
          <w:sz w:val="32"/>
          <w:szCs w:val="32"/>
        </w:rPr>
        <w:lastRenderedPageBreak/>
        <w:t>香港土地供给增加并不能抑制房价上涨，因为政府对土地供应后的开发周期缺乏有力的监管，开发商囤地现象严重，供给侧与需求侧传导不畅，造成房价上涨</w:t>
      </w:r>
      <w:r w:rsidR="00AC2FE8" w:rsidRPr="0007096F">
        <w:rPr>
          <w:rFonts w:ascii="仿宋_GB2312" w:eastAsia="仿宋_GB2312" w:hAnsiTheme="minorEastAsia" w:hint="eastAsia"/>
          <w:sz w:val="32"/>
          <w:szCs w:val="32"/>
          <w:vertAlign w:val="superscript"/>
        </w:rPr>
        <w:t>[1]</w:t>
      </w:r>
      <w:r w:rsidRPr="0007096F">
        <w:rPr>
          <w:rFonts w:ascii="仿宋_GB2312" w:eastAsia="仿宋_GB2312" w:hAnsiTheme="minorEastAsia" w:hint="eastAsia"/>
          <w:sz w:val="32"/>
          <w:szCs w:val="32"/>
        </w:rPr>
        <w:t>。任辉认为，导致目前房地产市场价格上扬的影响因素主要有</w:t>
      </w:r>
      <w:r w:rsidRPr="0007096F">
        <w:rPr>
          <w:rFonts w:ascii="仿宋_GB2312" w:eastAsia="仿宋_GB2312" w:hAnsiTheme="minorEastAsia" w:hint="eastAsia"/>
          <w:b/>
          <w:sz w:val="32"/>
          <w:szCs w:val="32"/>
        </w:rPr>
        <w:t>土地短缺</w:t>
      </w:r>
      <w:r w:rsidRPr="0007096F">
        <w:rPr>
          <w:rFonts w:ascii="仿宋_GB2312" w:eastAsia="仿宋_GB2312" w:hAnsiTheme="minorEastAsia" w:hint="eastAsia"/>
          <w:sz w:val="32"/>
          <w:szCs w:val="32"/>
        </w:rPr>
        <w:t>、流动性过剩、地方政府的推动作用、贸易顺差</w:t>
      </w:r>
      <w:r w:rsidR="0011098D" w:rsidRPr="0007096F">
        <w:rPr>
          <w:rFonts w:ascii="仿宋_GB2312" w:eastAsia="仿宋_GB2312" w:hAnsiTheme="minorEastAsia" w:hint="eastAsia"/>
          <w:sz w:val="32"/>
          <w:szCs w:val="32"/>
        </w:rPr>
        <w:t>等</w:t>
      </w:r>
      <w:r w:rsidR="00170E35" w:rsidRPr="0007096F">
        <w:rPr>
          <w:rFonts w:ascii="仿宋_GB2312" w:eastAsia="仿宋_GB2312" w:hAnsiTheme="minorEastAsia" w:hint="eastAsia"/>
          <w:sz w:val="32"/>
          <w:szCs w:val="32"/>
          <w:vertAlign w:val="superscript"/>
        </w:rPr>
        <w:t>[2]</w:t>
      </w:r>
      <w:r w:rsidRPr="0007096F">
        <w:rPr>
          <w:rFonts w:ascii="仿宋_GB2312" w:eastAsia="仿宋_GB2312" w:hAnsiTheme="minorEastAsia" w:hint="eastAsia"/>
          <w:sz w:val="32"/>
          <w:szCs w:val="32"/>
        </w:rPr>
        <w:t>。社科院学者张斌（2016）认为</w:t>
      </w:r>
      <w:r w:rsidRPr="0007096F">
        <w:rPr>
          <w:rFonts w:ascii="仿宋_GB2312" w:eastAsia="仿宋_GB2312" w:hAnsiTheme="minorEastAsia" w:hint="eastAsia"/>
          <w:b/>
          <w:sz w:val="32"/>
          <w:szCs w:val="32"/>
        </w:rPr>
        <w:t>土地价格是大城市商品房价最重要的组成部分</w:t>
      </w:r>
      <w:r w:rsidRPr="0007096F">
        <w:rPr>
          <w:rFonts w:ascii="仿宋_GB2312" w:eastAsia="仿宋_GB2312" w:hAnsiTheme="minorEastAsia" w:hint="eastAsia"/>
          <w:sz w:val="32"/>
          <w:szCs w:val="32"/>
        </w:rPr>
        <w:t>，近几年一线城市土地供应严重不足，造成住宅用地价格上涨超过房价上涨，成为高房价的根本推手</w:t>
      </w:r>
      <w:r w:rsidR="00AC2FE8" w:rsidRPr="0007096F">
        <w:rPr>
          <w:rFonts w:ascii="仿宋_GB2312" w:eastAsia="仿宋_GB2312" w:hAnsiTheme="minorEastAsia" w:hint="eastAsia"/>
          <w:sz w:val="32"/>
          <w:szCs w:val="32"/>
          <w:vertAlign w:val="superscript"/>
        </w:rPr>
        <w:t>[</w:t>
      </w:r>
      <w:r w:rsidR="00170E35" w:rsidRPr="0007096F">
        <w:rPr>
          <w:rFonts w:ascii="仿宋_GB2312" w:eastAsia="仿宋_GB2312" w:hAnsiTheme="minorEastAsia" w:hint="eastAsia"/>
          <w:sz w:val="32"/>
          <w:szCs w:val="32"/>
          <w:vertAlign w:val="superscript"/>
        </w:rPr>
        <w:t>3</w:t>
      </w:r>
      <w:r w:rsidR="00AC2FE8" w:rsidRPr="0007096F">
        <w:rPr>
          <w:rFonts w:ascii="仿宋_GB2312" w:eastAsia="仿宋_GB2312" w:hAnsiTheme="minorEastAsia" w:hint="eastAsia"/>
          <w:sz w:val="32"/>
          <w:szCs w:val="32"/>
          <w:vertAlign w:val="superscript"/>
        </w:rPr>
        <w:t>]</w:t>
      </w:r>
      <w:r w:rsidRPr="0007096F">
        <w:rPr>
          <w:rFonts w:ascii="仿宋_GB2312" w:eastAsia="仿宋_GB2312" w:hAnsiTheme="minorEastAsia" w:hint="eastAsia"/>
          <w:sz w:val="32"/>
          <w:szCs w:val="32"/>
        </w:rPr>
        <w:t>。</w:t>
      </w:r>
    </w:p>
    <w:p w:rsidR="00122401" w:rsidRPr="0007096F" w:rsidRDefault="00D634E5" w:rsidP="00B42832">
      <w:pPr>
        <w:widowControl/>
        <w:spacing w:line="360" w:lineRule="auto"/>
        <w:ind w:firstLineChars="200" w:firstLine="640"/>
        <w:rPr>
          <w:rFonts w:ascii="仿宋_GB2312" w:eastAsia="仿宋_GB2312" w:hAnsiTheme="minorEastAsia"/>
          <w:sz w:val="32"/>
          <w:szCs w:val="32"/>
        </w:rPr>
      </w:pPr>
      <w:r w:rsidRPr="0007096F">
        <w:rPr>
          <w:rFonts w:ascii="仿宋_GB2312" w:eastAsia="仿宋_GB2312" w:hAnsiTheme="minorEastAsia" w:hint="eastAsia"/>
          <w:sz w:val="32"/>
          <w:szCs w:val="32"/>
        </w:rPr>
        <w:t>上海由于其人多地少的根本矛盾，商品住宅一直具有稀缺性，1998年房改后，房价上涨步入快车道，</w:t>
      </w:r>
      <w:r w:rsidR="00795D4E" w:rsidRPr="0007096F">
        <w:rPr>
          <w:rFonts w:ascii="仿宋_GB2312" w:eastAsia="仿宋_GB2312" w:hAnsiTheme="minorEastAsia" w:hint="eastAsia"/>
          <w:sz w:val="32"/>
          <w:szCs w:val="32"/>
        </w:rPr>
        <w:t>为抑制房价的过快上涨，</w:t>
      </w:r>
      <w:r w:rsidR="00651B81" w:rsidRPr="0007096F">
        <w:rPr>
          <w:rFonts w:ascii="仿宋_GB2312" w:eastAsia="仿宋_GB2312" w:hAnsiTheme="minorEastAsia" w:hint="eastAsia"/>
          <w:sz w:val="32"/>
          <w:szCs w:val="32"/>
        </w:rPr>
        <w:t>2011上海</w:t>
      </w:r>
      <w:r w:rsidR="00795D4E" w:rsidRPr="0007096F">
        <w:rPr>
          <w:rFonts w:ascii="仿宋_GB2312" w:eastAsia="仿宋_GB2312" w:hAnsiTheme="minorEastAsia" w:hint="eastAsia"/>
          <w:sz w:val="32"/>
          <w:szCs w:val="32"/>
        </w:rPr>
        <w:t>开始</w:t>
      </w:r>
      <w:r w:rsidR="00651B81" w:rsidRPr="0007096F">
        <w:rPr>
          <w:rFonts w:ascii="仿宋_GB2312" w:eastAsia="仿宋_GB2312" w:hAnsiTheme="minorEastAsia" w:hint="eastAsia"/>
          <w:sz w:val="32"/>
          <w:szCs w:val="32"/>
        </w:rPr>
        <w:t>实施</w:t>
      </w:r>
      <w:r w:rsidR="009A1CAF" w:rsidRPr="0007096F">
        <w:rPr>
          <w:rFonts w:ascii="仿宋_GB2312" w:eastAsia="仿宋_GB2312" w:hAnsiTheme="minorEastAsia" w:hint="eastAsia"/>
          <w:sz w:val="32"/>
          <w:szCs w:val="32"/>
        </w:rPr>
        <w:t>房</w:t>
      </w:r>
      <w:r w:rsidR="00795D4E" w:rsidRPr="0007096F">
        <w:rPr>
          <w:rFonts w:ascii="仿宋_GB2312" w:eastAsia="仿宋_GB2312" w:hAnsiTheme="minorEastAsia" w:hint="eastAsia"/>
          <w:sz w:val="32"/>
          <w:szCs w:val="32"/>
        </w:rPr>
        <w:t>地</w:t>
      </w:r>
      <w:r w:rsidR="009A1CAF" w:rsidRPr="0007096F">
        <w:rPr>
          <w:rFonts w:ascii="仿宋_GB2312" w:eastAsia="仿宋_GB2312" w:hAnsiTheme="minorEastAsia" w:hint="eastAsia"/>
          <w:sz w:val="32"/>
          <w:szCs w:val="32"/>
        </w:rPr>
        <w:t>产</w:t>
      </w:r>
      <w:r w:rsidR="00651B81" w:rsidRPr="0007096F">
        <w:rPr>
          <w:rFonts w:ascii="仿宋_GB2312" w:eastAsia="仿宋_GB2312" w:hAnsiTheme="minorEastAsia" w:hint="eastAsia"/>
          <w:sz w:val="32"/>
          <w:szCs w:val="32"/>
        </w:rPr>
        <w:t>限购政策，以抑制需求的方式调控房地产市场过热发展，</w:t>
      </w:r>
      <w:r w:rsidR="00795D4E" w:rsidRPr="0007096F">
        <w:rPr>
          <w:rFonts w:ascii="仿宋_GB2312" w:eastAsia="仿宋_GB2312" w:hAnsiTheme="minorEastAsia" w:hint="eastAsia"/>
          <w:sz w:val="32"/>
          <w:szCs w:val="32"/>
        </w:rPr>
        <w:t>从市场反应来看，调控效果并不明显，房价依然居高不下</w:t>
      </w:r>
      <w:r w:rsidR="005561BE" w:rsidRPr="0007096F">
        <w:rPr>
          <w:rFonts w:ascii="仿宋_GB2312" w:eastAsia="仿宋_GB2312" w:hAnsiTheme="minorEastAsia" w:hint="eastAsia"/>
          <w:sz w:val="32"/>
          <w:szCs w:val="32"/>
        </w:rPr>
        <w:t>，</w:t>
      </w:r>
      <w:r w:rsidR="00795D4E" w:rsidRPr="0007096F">
        <w:rPr>
          <w:rFonts w:ascii="仿宋_GB2312" w:eastAsia="仿宋_GB2312" w:hAnsiTheme="minorEastAsia" w:hint="eastAsia"/>
          <w:sz w:val="32"/>
          <w:szCs w:val="32"/>
        </w:rPr>
        <w:t>严重脱离了居民的</w:t>
      </w:r>
      <w:r w:rsidR="0047041F" w:rsidRPr="0007096F">
        <w:rPr>
          <w:rFonts w:ascii="仿宋_GB2312" w:eastAsia="仿宋_GB2312" w:hAnsiTheme="minorEastAsia" w:hint="eastAsia"/>
          <w:sz w:val="32"/>
          <w:szCs w:val="32"/>
        </w:rPr>
        <w:t>购买力</w:t>
      </w:r>
      <w:r w:rsidR="0094472A" w:rsidRPr="0007096F">
        <w:rPr>
          <w:rFonts w:ascii="仿宋_GB2312" w:eastAsia="仿宋_GB2312" w:hAnsiTheme="minorEastAsia" w:hint="eastAsia"/>
          <w:sz w:val="32"/>
          <w:szCs w:val="32"/>
        </w:rPr>
        <w:t>（根据国际货币基金组织的报告，上海2016年房价收入比达到了30.91，排名全球第6）。</w:t>
      </w:r>
      <w:r w:rsidR="0011098D" w:rsidRPr="0007096F">
        <w:rPr>
          <w:rFonts w:ascii="仿宋_GB2312" w:eastAsia="仿宋_GB2312" w:hAnsiTheme="minorEastAsia" w:hint="eastAsia"/>
          <w:sz w:val="32"/>
          <w:szCs w:val="32"/>
        </w:rPr>
        <w:t>事实证明，由于上海等用地资源紧缺与人口集聚的矛盾长期存在，需求侧调控并不能在根本上抑制房价上涨，</w:t>
      </w:r>
      <w:r w:rsidR="000D2917" w:rsidRPr="0007096F">
        <w:rPr>
          <w:rFonts w:ascii="仿宋_GB2312" w:eastAsia="仿宋_GB2312" w:hAnsiTheme="minorEastAsia" w:hint="eastAsia"/>
          <w:sz w:val="32"/>
          <w:szCs w:val="32"/>
        </w:rPr>
        <w:t>在国家供给侧改革</w:t>
      </w:r>
      <w:r w:rsidR="0094472A" w:rsidRPr="0007096F">
        <w:rPr>
          <w:rFonts w:ascii="仿宋_GB2312" w:eastAsia="仿宋_GB2312" w:hAnsiTheme="minorEastAsia" w:hint="eastAsia"/>
          <w:sz w:val="32"/>
          <w:szCs w:val="32"/>
        </w:rPr>
        <w:t>的</w:t>
      </w:r>
      <w:r w:rsidR="000D2917" w:rsidRPr="0007096F">
        <w:rPr>
          <w:rFonts w:ascii="仿宋_GB2312" w:eastAsia="仿宋_GB2312" w:hAnsiTheme="minorEastAsia" w:hint="eastAsia"/>
          <w:sz w:val="32"/>
          <w:szCs w:val="32"/>
        </w:rPr>
        <w:t>大背景下，</w:t>
      </w:r>
      <w:r w:rsidR="005561BE" w:rsidRPr="0007096F">
        <w:rPr>
          <w:rFonts w:ascii="仿宋_GB2312" w:eastAsia="仿宋_GB2312" w:hAnsiTheme="minorEastAsia" w:hint="eastAsia"/>
          <w:sz w:val="32"/>
          <w:szCs w:val="32"/>
        </w:rPr>
        <w:t>如何有效地利用土</w:t>
      </w:r>
      <w:r w:rsidR="0047041F" w:rsidRPr="0007096F">
        <w:rPr>
          <w:rFonts w:ascii="仿宋_GB2312" w:eastAsia="仿宋_GB2312" w:hAnsiTheme="minorEastAsia" w:hint="eastAsia"/>
          <w:sz w:val="32"/>
          <w:szCs w:val="32"/>
        </w:rPr>
        <w:t>地供应信息，挖掘土地供给与房地产市场</w:t>
      </w:r>
      <w:r w:rsidR="005561BE" w:rsidRPr="0007096F">
        <w:rPr>
          <w:rFonts w:ascii="仿宋_GB2312" w:eastAsia="仿宋_GB2312" w:hAnsiTheme="minorEastAsia" w:hint="eastAsia"/>
          <w:sz w:val="32"/>
          <w:szCs w:val="32"/>
        </w:rPr>
        <w:t>之间的内在联系，</w:t>
      </w:r>
      <w:r w:rsidR="0047041F" w:rsidRPr="0007096F">
        <w:rPr>
          <w:rFonts w:ascii="仿宋_GB2312" w:eastAsia="仿宋_GB2312" w:hAnsiTheme="minorEastAsia" w:hint="eastAsia"/>
          <w:sz w:val="32"/>
          <w:szCs w:val="32"/>
        </w:rPr>
        <w:t>合理发挥供给侧</w:t>
      </w:r>
      <w:r w:rsidR="005561BE" w:rsidRPr="0007096F">
        <w:rPr>
          <w:rFonts w:ascii="仿宋_GB2312" w:eastAsia="仿宋_GB2312" w:hAnsiTheme="minorEastAsia" w:hint="eastAsia"/>
          <w:sz w:val="32"/>
          <w:szCs w:val="32"/>
        </w:rPr>
        <w:t>调控的</w:t>
      </w:r>
      <w:r w:rsidR="0094472A" w:rsidRPr="0007096F">
        <w:rPr>
          <w:rFonts w:ascii="仿宋_GB2312" w:eastAsia="仿宋_GB2312" w:hAnsiTheme="minorEastAsia" w:hint="eastAsia"/>
          <w:sz w:val="32"/>
          <w:szCs w:val="32"/>
        </w:rPr>
        <w:t>长效</w:t>
      </w:r>
      <w:r w:rsidR="005561BE" w:rsidRPr="0007096F">
        <w:rPr>
          <w:rFonts w:ascii="仿宋_GB2312" w:eastAsia="仿宋_GB2312" w:hAnsiTheme="minorEastAsia" w:hint="eastAsia"/>
          <w:sz w:val="32"/>
          <w:szCs w:val="32"/>
        </w:rPr>
        <w:t>作用已经成为当务之急。</w:t>
      </w:r>
      <w:r w:rsidR="00122401" w:rsidRPr="0007096F">
        <w:rPr>
          <w:rFonts w:ascii="仿宋_GB2312" w:eastAsia="仿宋_GB2312" w:hAnsiTheme="minorEastAsia" w:hint="eastAsia"/>
          <w:sz w:val="32"/>
          <w:szCs w:val="32"/>
        </w:rPr>
        <w:t>本文通过梳理近</w:t>
      </w:r>
      <w:r w:rsidR="0011098D" w:rsidRPr="0007096F">
        <w:rPr>
          <w:rFonts w:ascii="仿宋_GB2312" w:eastAsia="仿宋_GB2312" w:hAnsiTheme="minorEastAsia" w:hint="eastAsia"/>
          <w:sz w:val="32"/>
          <w:szCs w:val="32"/>
        </w:rPr>
        <w:t>年来上海土地供应的变化，分析土地供应总量、供应政策、供应结构等</w:t>
      </w:r>
      <w:r w:rsidR="00665BD0" w:rsidRPr="0007096F">
        <w:rPr>
          <w:rFonts w:ascii="仿宋_GB2312" w:eastAsia="仿宋_GB2312" w:hAnsiTheme="minorEastAsia" w:hint="eastAsia"/>
          <w:sz w:val="32"/>
          <w:szCs w:val="32"/>
        </w:rPr>
        <w:t>对</w:t>
      </w:r>
      <w:r w:rsidR="00122401" w:rsidRPr="0007096F">
        <w:rPr>
          <w:rFonts w:ascii="仿宋_GB2312" w:eastAsia="仿宋_GB2312" w:hAnsiTheme="minorEastAsia" w:hint="eastAsia"/>
          <w:sz w:val="32"/>
          <w:szCs w:val="32"/>
        </w:rPr>
        <w:t>房地产市场的</w:t>
      </w:r>
      <w:r w:rsidR="000D2917" w:rsidRPr="0007096F">
        <w:rPr>
          <w:rFonts w:ascii="仿宋_GB2312" w:eastAsia="仿宋_GB2312" w:hAnsiTheme="minorEastAsia" w:hint="eastAsia"/>
          <w:sz w:val="32"/>
          <w:szCs w:val="32"/>
        </w:rPr>
        <w:t>影响规律</w:t>
      </w:r>
      <w:r w:rsidR="000D2917" w:rsidRPr="0007096F">
        <w:rPr>
          <w:rFonts w:ascii="仿宋_GB2312" w:eastAsia="仿宋_GB2312" w:hAnsiTheme="minorEastAsia" w:hint="eastAsia"/>
          <w:sz w:val="32"/>
          <w:szCs w:val="32"/>
        </w:rPr>
        <w:lastRenderedPageBreak/>
        <w:t>和内在机理</w:t>
      </w:r>
      <w:r w:rsidR="00122401" w:rsidRPr="0007096F">
        <w:rPr>
          <w:rFonts w:ascii="仿宋_GB2312" w:eastAsia="仿宋_GB2312" w:hAnsiTheme="minorEastAsia" w:hint="eastAsia"/>
          <w:sz w:val="32"/>
          <w:szCs w:val="32"/>
        </w:rPr>
        <w:t>，</w:t>
      </w:r>
      <w:r w:rsidR="00665BD0" w:rsidRPr="0007096F">
        <w:rPr>
          <w:rFonts w:ascii="仿宋_GB2312" w:eastAsia="仿宋_GB2312" w:hAnsiTheme="minorEastAsia" w:hint="eastAsia"/>
          <w:sz w:val="32"/>
          <w:szCs w:val="32"/>
        </w:rPr>
        <w:t>研究供给侧改革背景下的合理土地供应政策，为上海房地产市场健康发展提出合理建议。</w:t>
      </w:r>
    </w:p>
    <w:p w:rsidR="005574FD" w:rsidRPr="0007096F" w:rsidRDefault="00AE4973" w:rsidP="0007096F">
      <w:pPr>
        <w:widowControl/>
        <w:spacing w:line="360" w:lineRule="auto"/>
        <w:ind w:firstLineChars="200" w:firstLine="643"/>
        <w:rPr>
          <w:rFonts w:ascii="仿宋_GB2312" w:eastAsia="仿宋_GB2312" w:hAnsiTheme="minorEastAsia"/>
          <w:b/>
          <w:sz w:val="32"/>
          <w:szCs w:val="32"/>
        </w:rPr>
      </w:pPr>
      <w:r w:rsidRPr="0007096F">
        <w:rPr>
          <w:rFonts w:ascii="仿宋_GB2312" w:eastAsia="仿宋_GB2312" w:hAnsiTheme="minorEastAsia" w:hint="eastAsia"/>
          <w:b/>
          <w:sz w:val="32"/>
          <w:szCs w:val="32"/>
        </w:rPr>
        <w:t>二</w:t>
      </w:r>
      <w:r w:rsidR="0047041F" w:rsidRPr="0007096F">
        <w:rPr>
          <w:rFonts w:ascii="仿宋_GB2312" w:eastAsia="仿宋_GB2312" w:hAnsiTheme="minorEastAsia" w:hint="eastAsia"/>
          <w:b/>
          <w:sz w:val="32"/>
          <w:szCs w:val="32"/>
        </w:rPr>
        <w:t>、</w:t>
      </w:r>
      <w:r w:rsidR="00972D6F" w:rsidRPr="0007096F">
        <w:rPr>
          <w:rFonts w:ascii="仿宋_GB2312" w:eastAsia="仿宋_GB2312" w:hAnsiTheme="minorEastAsia" w:hint="eastAsia"/>
          <w:b/>
          <w:sz w:val="32"/>
          <w:szCs w:val="32"/>
        </w:rPr>
        <w:t>土地</w:t>
      </w:r>
      <w:r w:rsidR="006B578C" w:rsidRPr="0007096F">
        <w:rPr>
          <w:rFonts w:ascii="仿宋_GB2312" w:eastAsia="仿宋_GB2312" w:hAnsiTheme="minorEastAsia" w:hint="eastAsia"/>
          <w:b/>
          <w:sz w:val="32"/>
          <w:szCs w:val="32"/>
        </w:rPr>
        <w:t>供应</w:t>
      </w:r>
      <w:r w:rsidR="00972D6F" w:rsidRPr="0007096F">
        <w:rPr>
          <w:rFonts w:ascii="仿宋_GB2312" w:eastAsia="仿宋_GB2312" w:hAnsiTheme="minorEastAsia" w:hint="eastAsia"/>
          <w:b/>
          <w:sz w:val="32"/>
          <w:szCs w:val="32"/>
        </w:rPr>
        <w:t>总</w:t>
      </w:r>
      <w:r w:rsidR="003C1137" w:rsidRPr="0007096F">
        <w:rPr>
          <w:rFonts w:ascii="仿宋_GB2312" w:eastAsia="仿宋_GB2312" w:hAnsiTheme="minorEastAsia" w:hint="eastAsia"/>
          <w:b/>
          <w:sz w:val="32"/>
          <w:szCs w:val="32"/>
        </w:rPr>
        <w:t>量对房地产市场的影响</w:t>
      </w:r>
    </w:p>
    <w:p w:rsidR="00CC455E" w:rsidRPr="0007096F" w:rsidRDefault="00373A1E" w:rsidP="00B42832">
      <w:pPr>
        <w:widowControl/>
        <w:spacing w:line="360" w:lineRule="auto"/>
        <w:ind w:firstLineChars="200" w:firstLine="640"/>
        <w:rPr>
          <w:rFonts w:ascii="仿宋_GB2312" w:eastAsia="仿宋_GB2312" w:hAnsiTheme="minorEastAsia"/>
          <w:sz w:val="32"/>
          <w:szCs w:val="32"/>
        </w:rPr>
      </w:pPr>
      <w:r w:rsidRPr="0007096F">
        <w:rPr>
          <w:rFonts w:ascii="仿宋_GB2312" w:eastAsia="仿宋_GB2312" w:hAnsiTheme="minorEastAsia" w:hint="eastAsia"/>
          <w:sz w:val="32"/>
          <w:szCs w:val="32"/>
        </w:rPr>
        <w:t>上海由于其人多地少的根本矛盾，</w:t>
      </w:r>
      <w:r w:rsidR="0094472A" w:rsidRPr="0007096F">
        <w:rPr>
          <w:rFonts w:ascii="仿宋_GB2312" w:eastAsia="仿宋_GB2312" w:hAnsiTheme="minorEastAsia" w:hint="eastAsia"/>
          <w:sz w:val="32"/>
          <w:szCs w:val="32"/>
        </w:rPr>
        <w:t>居民住房</w:t>
      </w:r>
      <w:r w:rsidRPr="0007096F">
        <w:rPr>
          <w:rFonts w:ascii="仿宋_GB2312" w:eastAsia="仿宋_GB2312" w:hAnsiTheme="minorEastAsia" w:hint="eastAsia"/>
          <w:sz w:val="32"/>
          <w:szCs w:val="32"/>
        </w:rPr>
        <w:t>一直具有稀缺性，从历史数据来看，</w:t>
      </w:r>
      <w:r w:rsidR="00E22FF7" w:rsidRPr="0007096F">
        <w:rPr>
          <w:rFonts w:ascii="仿宋_GB2312" w:eastAsia="仿宋_GB2312" w:hAnsiTheme="minorEastAsia" w:hint="eastAsia"/>
          <w:sz w:val="32"/>
          <w:szCs w:val="32"/>
        </w:rPr>
        <w:t>供给量与房价的关系</w:t>
      </w:r>
      <w:r w:rsidRPr="0007096F">
        <w:rPr>
          <w:rFonts w:ascii="仿宋_GB2312" w:eastAsia="仿宋_GB2312" w:hAnsiTheme="minorEastAsia" w:hint="eastAsia"/>
          <w:sz w:val="32"/>
          <w:szCs w:val="32"/>
        </w:rPr>
        <w:t>可分为三个阶段</w:t>
      </w:r>
      <w:r w:rsidR="00332136" w:rsidRPr="0007096F">
        <w:rPr>
          <w:rFonts w:ascii="仿宋_GB2312" w:eastAsia="仿宋_GB2312" w:hAnsiTheme="minorEastAsia" w:hint="eastAsia"/>
          <w:sz w:val="32"/>
          <w:szCs w:val="32"/>
        </w:rPr>
        <w:t>（图</w:t>
      </w:r>
      <w:r w:rsidR="0023345B" w:rsidRPr="0007096F">
        <w:rPr>
          <w:rFonts w:ascii="仿宋_GB2312" w:eastAsia="仿宋_GB2312" w:hAnsiTheme="minorEastAsia" w:hint="eastAsia"/>
          <w:sz w:val="32"/>
          <w:szCs w:val="32"/>
        </w:rPr>
        <w:t>2</w:t>
      </w:r>
      <w:r w:rsidR="00332136" w:rsidRPr="0007096F">
        <w:rPr>
          <w:rFonts w:ascii="仿宋_GB2312" w:eastAsia="仿宋_GB2312" w:hAnsiTheme="minorEastAsia" w:hint="eastAsia"/>
          <w:sz w:val="32"/>
          <w:szCs w:val="32"/>
        </w:rPr>
        <w:t>.1）</w:t>
      </w:r>
      <w:r w:rsidR="006F2ABE" w:rsidRPr="0007096F">
        <w:rPr>
          <w:rFonts w:ascii="仿宋_GB2312" w:eastAsia="仿宋_GB2312" w:hAnsiTheme="minorEastAsia" w:hint="eastAsia"/>
          <w:sz w:val="32"/>
          <w:szCs w:val="32"/>
        </w:rPr>
        <w:t>。</w:t>
      </w:r>
    </w:p>
    <w:p w:rsidR="006F2ABE" w:rsidRPr="0007096F" w:rsidRDefault="00CC455E" w:rsidP="00B42832">
      <w:pPr>
        <w:widowControl/>
        <w:spacing w:line="360" w:lineRule="auto"/>
        <w:ind w:firstLineChars="200" w:firstLine="640"/>
        <w:rPr>
          <w:rFonts w:ascii="仿宋_GB2312" w:eastAsia="仿宋_GB2312" w:hAnsiTheme="minorEastAsia"/>
          <w:sz w:val="32"/>
          <w:szCs w:val="32"/>
        </w:rPr>
      </w:pPr>
      <w:r w:rsidRPr="0007096F">
        <w:rPr>
          <w:rFonts w:ascii="仿宋_GB2312" w:eastAsia="仿宋_GB2312" w:hAnsiTheme="minorEastAsia" w:hint="eastAsia"/>
          <w:sz w:val="32"/>
          <w:szCs w:val="32"/>
        </w:rPr>
        <w:t>第一阶段，</w:t>
      </w:r>
      <w:r w:rsidR="006F2ABE" w:rsidRPr="0007096F">
        <w:rPr>
          <w:rFonts w:ascii="仿宋_GB2312" w:eastAsia="仿宋_GB2312" w:hAnsiTheme="minorEastAsia" w:hint="eastAsia"/>
          <w:sz w:val="32"/>
          <w:szCs w:val="32"/>
        </w:rPr>
        <w:t>1978年-1998年，为改善居民住房紧缺问题，政府投入大量土地资金开发住宅，一定程度上改善了居民的住宅问题，城镇人均住宅面积由1980年的4.4平米增加到1998年的9.7平米，由于是非市场化的福利分房，</w:t>
      </w:r>
      <w:r w:rsidR="006F2ABE" w:rsidRPr="0007096F">
        <w:rPr>
          <w:rFonts w:ascii="仿宋_GB2312" w:eastAsia="仿宋_GB2312" w:hAnsiTheme="minorEastAsia" w:hint="eastAsia"/>
          <w:b/>
          <w:sz w:val="32"/>
          <w:szCs w:val="32"/>
        </w:rPr>
        <w:t>住房价格低廉且平稳，与供给无明显相关性</w:t>
      </w:r>
      <w:r w:rsidR="006F2ABE" w:rsidRPr="0007096F">
        <w:rPr>
          <w:rFonts w:ascii="仿宋_GB2312" w:eastAsia="仿宋_GB2312" w:hAnsiTheme="minorEastAsia" w:hint="eastAsia"/>
          <w:sz w:val="32"/>
          <w:szCs w:val="32"/>
        </w:rPr>
        <w:t>。</w:t>
      </w:r>
    </w:p>
    <w:p w:rsidR="006F2ABE" w:rsidRPr="00B42832" w:rsidRDefault="006F2ABE" w:rsidP="00B42832">
      <w:pPr>
        <w:widowControl/>
        <w:spacing w:line="360" w:lineRule="auto"/>
        <w:rPr>
          <w:rFonts w:asciiTheme="minorEastAsia" w:hAnsiTheme="minorEastAsia"/>
          <w:sz w:val="24"/>
          <w:szCs w:val="24"/>
        </w:rPr>
      </w:pPr>
      <w:r w:rsidRPr="00B42832">
        <w:rPr>
          <w:rFonts w:asciiTheme="minorEastAsia" w:hAnsiTheme="minorEastAsia"/>
          <w:noProof/>
          <w:sz w:val="24"/>
          <w:szCs w:val="24"/>
        </w:rPr>
        <w:drawing>
          <wp:inline distT="0" distB="0" distL="0" distR="0">
            <wp:extent cx="5278120" cy="1819293"/>
            <wp:effectExtent l="1905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278120" cy="1819293"/>
                    </a:xfrm>
                    <a:prstGeom prst="rect">
                      <a:avLst/>
                    </a:prstGeom>
                    <a:noFill/>
                  </pic:spPr>
                </pic:pic>
              </a:graphicData>
            </a:graphic>
          </wp:inline>
        </w:drawing>
      </w:r>
    </w:p>
    <w:p w:rsidR="006F2ABE" w:rsidRPr="0007096F" w:rsidRDefault="006F2ABE" w:rsidP="00B42832">
      <w:pPr>
        <w:widowControl/>
        <w:spacing w:line="360" w:lineRule="auto"/>
        <w:jc w:val="left"/>
        <w:rPr>
          <w:rFonts w:asciiTheme="minorEastAsia" w:hAnsiTheme="minorEastAsia"/>
          <w:b/>
          <w:szCs w:val="21"/>
        </w:rPr>
      </w:pPr>
      <w:r w:rsidRPr="0007096F">
        <w:rPr>
          <w:rFonts w:asciiTheme="minorEastAsia" w:hAnsiTheme="minorEastAsia" w:hint="eastAsia"/>
          <w:b/>
          <w:szCs w:val="21"/>
        </w:rPr>
        <w:t>图</w:t>
      </w:r>
      <w:r w:rsidR="0023345B" w:rsidRPr="0007096F">
        <w:rPr>
          <w:rFonts w:asciiTheme="minorEastAsia" w:hAnsiTheme="minorEastAsia" w:hint="eastAsia"/>
          <w:b/>
          <w:szCs w:val="21"/>
        </w:rPr>
        <w:t>2</w:t>
      </w:r>
      <w:r w:rsidRPr="0007096F">
        <w:rPr>
          <w:rFonts w:asciiTheme="minorEastAsia" w:hAnsiTheme="minorEastAsia" w:hint="eastAsia"/>
          <w:b/>
          <w:szCs w:val="21"/>
        </w:rPr>
        <w:t>.1 上海1980-2015年住宅竣工面积，上海1999-2015商品房成交均价变化，2007-2015年住宅用地供应面积（数据来源：上海统计局官方网站，房盟RTC数据中心，上海市规划与国土资源管理局官方网站）</w:t>
      </w:r>
    </w:p>
    <w:p w:rsidR="0023345B" w:rsidRPr="00B42832" w:rsidRDefault="0023345B" w:rsidP="00B42832">
      <w:pPr>
        <w:widowControl/>
        <w:spacing w:line="360" w:lineRule="auto"/>
        <w:jc w:val="left"/>
        <w:rPr>
          <w:rFonts w:asciiTheme="minorEastAsia" w:hAnsiTheme="minorEastAsia"/>
          <w:sz w:val="24"/>
          <w:szCs w:val="24"/>
        </w:rPr>
      </w:pPr>
    </w:p>
    <w:p w:rsidR="000723F9" w:rsidRPr="00B42832" w:rsidRDefault="006B766E" w:rsidP="00B42832">
      <w:pPr>
        <w:widowControl/>
        <w:spacing w:line="360" w:lineRule="auto"/>
        <w:jc w:val="center"/>
        <w:rPr>
          <w:rFonts w:asciiTheme="minorEastAsia" w:hAnsiTheme="minorEastAsia"/>
          <w:sz w:val="24"/>
          <w:szCs w:val="24"/>
        </w:rPr>
      </w:pPr>
      <w:r w:rsidRPr="00B42832">
        <w:rPr>
          <w:rFonts w:asciiTheme="minorEastAsia" w:hAnsiTheme="minorEastAsia"/>
          <w:noProof/>
          <w:sz w:val="24"/>
          <w:szCs w:val="24"/>
        </w:rPr>
        <w:lastRenderedPageBreak/>
        <w:drawing>
          <wp:inline distT="0" distB="0" distL="0" distR="0">
            <wp:extent cx="4572000" cy="2743200"/>
            <wp:effectExtent l="19050" t="0" r="19050" b="0"/>
            <wp:docPr id="21"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723F9" w:rsidRPr="0007096F" w:rsidRDefault="006B766E" w:rsidP="00B42832">
      <w:pPr>
        <w:widowControl/>
        <w:spacing w:line="360" w:lineRule="auto"/>
        <w:jc w:val="center"/>
        <w:rPr>
          <w:rFonts w:asciiTheme="minorEastAsia" w:hAnsiTheme="minorEastAsia"/>
          <w:b/>
          <w:szCs w:val="21"/>
        </w:rPr>
      </w:pPr>
      <w:r w:rsidRPr="0007096F">
        <w:rPr>
          <w:rFonts w:asciiTheme="minorEastAsia" w:hAnsiTheme="minorEastAsia" w:hint="eastAsia"/>
          <w:b/>
          <w:szCs w:val="21"/>
        </w:rPr>
        <w:t>图</w:t>
      </w:r>
      <w:r w:rsidR="0023345B" w:rsidRPr="0007096F">
        <w:rPr>
          <w:rFonts w:asciiTheme="minorEastAsia" w:hAnsiTheme="minorEastAsia" w:hint="eastAsia"/>
          <w:b/>
          <w:szCs w:val="21"/>
        </w:rPr>
        <w:t>2</w:t>
      </w:r>
      <w:r w:rsidRPr="0007096F">
        <w:rPr>
          <w:rFonts w:asciiTheme="minorEastAsia" w:hAnsiTheme="minorEastAsia" w:hint="eastAsia"/>
          <w:b/>
          <w:szCs w:val="21"/>
        </w:rPr>
        <w:t xml:space="preserve">.2 </w:t>
      </w:r>
      <w:r w:rsidR="000723F9" w:rsidRPr="0007096F">
        <w:rPr>
          <w:rFonts w:asciiTheme="minorEastAsia" w:hAnsiTheme="minorEastAsia" w:hint="eastAsia"/>
          <w:b/>
          <w:szCs w:val="21"/>
        </w:rPr>
        <w:t>2000-2015</w:t>
      </w:r>
      <w:r w:rsidRPr="0007096F">
        <w:rPr>
          <w:rFonts w:asciiTheme="minorEastAsia" w:hAnsiTheme="minorEastAsia" w:hint="eastAsia"/>
          <w:b/>
          <w:szCs w:val="21"/>
        </w:rPr>
        <w:t>年上海市商品住宅价格同比增长百分比</w:t>
      </w:r>
      <w:r w:rsidR="00960CAA" w:rsidRPr="0007096F">
        <w:rPr>
          <w:rFonts w:asciiTheme="minorEastAsia" w:hAnsiTheme="minorEastAsia" w:hint="eastAsia"/>
          <w:b/>
          <w:szCs w:val="21"/>
        </w:rPr>
        <w:t>（数据来源：房盟RTC数据中心）</w:t>
      </w:r>
    </w:p>
    <w:p w:rsidR="00E22FF7" w:rsidRPr="0007096F" w:rsidRDefault="00CC455E" w:rsidP="00B42832">
      <w:pPr>
        <w:widowControl/>
        <w:spacing w:line="360" w:lineRule="auto"/>
        <w:ind w:firstLineChars="200" w:firstLine="640"/>
        <w:rPr>
          <w:rFonts w:ascii="仿宋_GB2312" w:eastAsia="仿宋_GB2312" w:hAnsiTheme="minorEastAsia"/>
          <w:sz w:val="32"/>
          <w:szCs w:val="32"/>
        </w:rPr>
      </w:pPr>
      <w:r w:rsidRPr="0007096F">
        <w:rPr>
          <w:rFonts w:ascii="仿宋_GB2312" w:eastAsia="仿宋_GB2312" w:hAnsiTheme="minorEastAsia" w:hint="eastAsia"/>
          <w:sz w:val="32"/>
          <w:szCs w:val="32"/>
        </w:rPr>
        <w:t>第二阶段，</w:t>
      </w:r>
      <w:r w:rsidR="00373A1E" w:rsidRPr="0007096F">
        <w:rPr>
          <w:rFonts w:ascii="仿宋_GB2312" w:eastAsia="仿宋_GB2312" w:hAnsiTheme="minorEastAsia" w:hint="eastAsia"/>
          <w:sz w:val="32"/>
          <w:szCs w:val="32"/>
        </w:rPr>
        <w:t>1999年-2007年</w:t>
      </w:r>
      <w:r w:rsidR="00CA223D" w:rsidRPr="0007096F">
        <w:rPr>
          <w:rFonts w:ascii="仿宋_GB2312" w:eastAsia="仿宋_GB2312" w:hAnsiTheme="minorEastAsia" w:hint="eastAsia"/>
          <w:sz w:val="32"/>
          <w:szCs w:val="32"/>
        </w:rPr>
        <w:t>，</w:t>
      </w:r>
      <w:r w:rsidR="00373A1E" w:rsidRPr="0007096F">
        <w:rPr>
          <w:rFonts w:ascii="仿宋_GB2312" w:eastAsia="仿宋_GB2312" w:hAnsiTheme="minorEastAsia" w:hint="eastAsia"/>
          <w:sz w:val="32"/>
          <w:szCs w:val="32"/>
        </w:rPr>
        <w:t>住宅建设转为市场化，逐步取消了福利分房，商品房开发</w:t>
      </w:r>
      <w:r w:rsidR="00CA223D" w:rsidRPr="0007096F">
        <w:rPr>
          <w:rFonts w:ascii="仿宋_GB2312" w:eastAsia="仿宋_GB2312" w:hAnsiTheme="minorEastAsia" w:hint="eastAsia"/>
          <w:sz w:val="32"/>
          <w:szCs w:val="32"/>
        </w:rPr>
        <w:t>进入高速增长时期</w:t>
      </w:r>
      <w:r w:rsidR="00373A1E" w:rsidRPr="0007096F">
        <w:rPr>
          <w:rFonts w:ascii="仿宋_GB2312" w:eastAsia="仿宋_GB2312" w:hAnsiTheme="minorEastAsia" w:hint="eastAsia"/>
          <w:sz w:val="32"/>
          <w:szCs w:val="32"/>
        </w:rPr>
        <w:t>，</w:t>
      </w:r>
      <w:r w:rsidR="00CA223D" w:rsidRPr="0007096F">
        <w:rPr>
          <w:rFonts w:ascii="仿宋_GB2312" w:eastAsia="仿宋_GB2312" w:hAnsiTheme="minorEastAsia" w:hint="eastAsia"/>
          <w:sz w:val="32"/>
          <w:szCs w:val="32"/>
        </w:rPr>
        <w:t>供应量与</w:t>
      </w:r>
      <w:r w:rsidR="00B06EB7" w:rsidRPr="0007096F">
        <w:rPr>
          <w:rFonts w:ascii="仿宋_GB2312" w:eastAsia="仿宋_GB2312" w:hAnsiTheme="minorEastAsia" w:hint="eastAsia"/>
          <w:sz w:val="32"/>
          <w:szCs w:val="32"/>
        </w:rPr>
        <w:t>住房价格</w:t>
      </w:r>
      <w:r w:rsidR="00CA223D" w:rsidRPr="0007096F">
        <w:rPr>
          <w:rFonts w:ascii="仿宋_GB2312" w:eastAsia="仿宋_GB2312" w:hAnsiTheme="minorEastAsia" w:hint="eastAsia"/>
          <w:sz w:val="32"/>
          <w:szCs w:val="32"/>
        </w:rPr>
        <w:t>同步上升，至2007年达到阶段高点，</w:t>
      </w:r>
      <w:r w:rsidR="00B06EB7" w:rsidRPr="0007096F">
        <w:rPr>
          <w:rFonts w:ascii="仿宋_GB2312" w:eastAsia="仿宋_GB2312" w:hAnsiTheme="minorEastAsia" w:hint="eastAsia"/>
          <w:sz w:val="32"/>
          <w:szCs w:val="32"/>
        </w:rPr>
        <w:t>2004年-2007年住宅供应均超过2500万平米，房价也以每年20%</w:t>
      </w:r>
      <w:r w:rsidR="00E22FF7" w:rsidRPr="0007096F">
        <w:rPr>
          <w:rFonts w:ascii="仿宋_GB2312" w:eastAsia="仿宋_GB2312" w:hAnsiTheme="minorEastAsia" w:hint="eastAsia"/>
          <w:sz w:val="32"/>
          <w:szCs w:val="32"/>
        </w:rPr>
        <w:t>左右</w:t>
      </w:r>
      <w:r w:rsidR="00B06EB7" w:rsidRPr="0007096F">
        <w:rPr>
          <w:rFonts w:ascii="仿宋_GB2312" w:eastAsia="仿宋_GB2312" w:hAnsiTheme="minorEastAsia" w:hint="eastAsia"/>
          <w:sz w:val="32"/>
          <w:szCs w:val="32"/>
        </w:rPr>
        <w:t>的涨幅高速攀升</w:t>
      </w:r>
      <w:r w:rsidR="006B766E" w:rsidRPr="0007096F">
        <w:rPr>
          <w:rFonts w:ascii="仿宋_GB2312" w:eastAsia="仿宋_GB2312" w:hAnsiTheme="minorEastAsia" w:hint="eastAsia"/>
          <w:sz w:val="32"/>
          <w:szCs w:val="32"/>
        </w:rPr>
        <w:t>（2005年除外）（图</w:t>
      </w:r>
      <w:r w:rsidR="00394614" w:rsidRPr="0007096F">
        <w:rPr>
          <w:rFonts w:ascii="仿宋_GB2312" w:eastAsia="仿宋_GB2312" w:hAnsiTheme="minorEastAsia" w:hint="eastAsia"/>
          <w:sz w:val="32"/>
          <w:szCs w:val="32"/>
        </w:rPr>
        <w:t>2</w:t>
      </w:r>
      <w:r w:rsidR="006B766E" w:rsidRPr="0007096F">
        <w:rPr>
          <w:rFonts w:ascii="仿宋_GB2312" w:eastAsia="仿宋_GB2312" w:hAnsiTheme="minorEastAsia" w:hint="eastAsia"/>
          <w:sz w:val="32"/>
          <w:szCs w:val="32"/>
        </w:rPr>
        <w:t>.2）</w:t>
      </w:r>
      <w:r w:rsidR="00332136" w:rsidRPr="0007096F">
        <w:rPr>
          <w:rFonts w:ascii="仿宋_GB2312" w:eastAsia="仿宋_GB2312" w:hAnsiTheme="minorEastAsia" w:hint="eastAsia"/>
          <w:sz w:val="32"/>
          <w:szCs w:val="32"/>
        </w:rPr>
        <w:t>，</w:t>
      </w:r>
      <w:r w:rsidR="00332136" w:rsidRPr="0007096F">
        <w:rPr>
          <w:rFonts w:ascii="仿宋_GB2312" w:eastAsia="仿宋_GB2312" w:hAnsiTheme="minorEastAsia" w:hint="eastAsia"/>
          <w:b/>
          <w:sz w:val="32"/>
          <w:szCs w:val="32"/>
        </w:rPr>
        <w:t>期间房价</w:t>
      </w:r>
      <w:r w:rsidR="00B06EB7" w:rsidRPr="0007096F">
        <w:rPr>
          <w:rFonts w:ascii="仿宋_GB2312" w:eastAsia="仿宋_GB2312" w:hAnsiTheme="minorEastAsia" w:hint="eastAsia"/>
          <w:b/>
          <w:sz w:val="32"/>
          <w:szCs w:val="32"/>
        </w:rPr>
        <w:t>与供应</w:t>
      </w:r>
      <w:r w:rsidR="00332136" w:rsidRPr="0007096F">
        <w:rPr>
          <w:rFonts w:ascii="仿宋_GB2312" w:eastAsia="仿宋_GB2312" w:hAnsiTheme="minorEastAsia" w:hint="eastAsia"/>
          <w:b/>
          <w:sz w:val="32"/>
          <w:szCs w:val="32"/>
        </w:rPr>
        <w:t>量</w:t>
      </w:r>
      <w:r w:rsidR="00B06EB7" w:rsidRPr="0007096F">
        <w:rPr>
          <w:rFonts w:ascii="仿宋_GB2312" w:eastAsia="仿宋_GB2312" w:hAnsiTheme="minorEastAsia" w:hint="eastAsia"/>
          <w:b/>
          <w:sz w:val="32"/>
          <w:szCs w:val="32"/>
        </w:rPr>
        <w:t>呈现正相关性，也就是量价齐涨</w:t>
      </w:r>
      <w:r w:rsidR="00E22FF7" w:rsidRPr="0007096F">
        <w:rPr>
          <w:rFonts w:ascii="仿宋_GB2312" w:eastAsia="仿宋_GB2312" w:hAnsiTheme="minorEastAsia" w:hint="eastAsia"/>
          <w:b/>
          <w:sz w:val="32"/>
          <w:szCs w:val="32"/>
        </w:rPr>
        <w:t>，</w:t>
      </w:r>
      <w:r w:rsidR="00E22FF7" w:rsidRPr="0007096F">
        <w:rPr>
          <w:rFonts w:ascii="仿宋_GB2312" w:eastAsia="仿宋_GB2312" w:hAnsiTheme="minorEastAsia" w:hint="eastAsia"/>
          <w:sz w:val="32"/>
          <w:szCs w:val="32"/>
        </w:rPr>
        <w:t>分析其原因，在此期间房价上涨主要是因为强烈的需求推动，1999年-2007年上海常住人口</w:t>
      </w:r>
      <w:r w:rsidR="00237A28" w:rsidRPr="0007096F">
        <w:rPr>
          <w:rFonts w:ascii="仿宋_GB2312" w:eastAsia="仿宋_GB2312" w:hAnsiTheme="minorEastAsia" w:hint="eastAsia"/>
          <w:sz w:val="32"/>
          <w:szCs w:val="32"/>
        </w:rPr>
        <w:t>，居民</w:t>
      </w:r>
      <w:r w:rsidR="00E22FF7" w:rsidRPr="0007096F">
        <w:rPr>
          <w:rFonts w:ascii="仿宋_GB2312" w:eastAsia="仿宋_GB2312" w:hAnsiTheme="minorEastAsia" w:hint="eastAsia"/>
          <w:sz w:val="32"/>
          <w:szCs w:val="32"/>
        </w:rPr>
        <w:t>收入</w:t>
      </w:r>
      <w:r w:rsidR="00237A28" w:rsidRPr="0007096F">
        <w:rPr>
          <w:rFonts w:ascii="仿宋_GB2312" w:eastAsia="仿宋_GB2312" w:hAnsiTheme="minorEastAsia" w:hint="eastAsia"/>
          <w:sz w:val="32"/>
          <w:szCs w:val="32"/>
        </w:rPr>
        <w:t>均呈</w:t>
      </w:r>
      <w:r w:rsidR="00E22FF7" w:rsidRPr="0007096F">
        <w:rPr>
          <w:rFonts w:ascii="仿宋_GB2312" w:eastAsia="仿宋_GB2312" w:hAnsiTheme="minorEastAsia" w:hint="eastAsia"/>
          <w:sz w:val="32"/>
          <w:szCs w:val="32"/>
        </w:rPr>
        <w:t>高速增长</w:t>
      </w:r>
      <w:r w:rsidR="00237A28" w:rsidRPr="0007096F">
        <w:rPr>
          <w:rFonts w:ascii="仿宋_GB2312" w:eastAsia="仿宋_GB2312" w:hAnsiTheme="minorEastAsia" w:hint="eastAsia"/>
          <w:sz w:val="32"/>
          <w:szCs w:val="32"/>
        </w:rPr>
        <w:t>态势（图</w:t>
      </w:r>
      <w:r w:rsidR="00394614" w:rsidRPr="0007096F">
        <w:rPr>
          <w:rFonts w:ascii="仿宋_GB2312" w:eastAsia="仿宋_GB2312" w:hAnsiTheme="minorEastAsia" w:hint="eastAsia"/>
          <w:sz w:val="32"/>
          <w:szCs w:val="32"/>
        </w:rPr>
        <w:t>2</w:t>
      </w:r>
      <w:r w:rsidR="006B766E" w:rsidRPr="0007096F">
        <w:rPr>
          <w:rFonts w:ascii="仿宋_GB2312" w:eastAsia="仿宋_GB2312" w:hAnsiTheme="minorEastAsia" w:hint="eastAsia"/>
          <w:sz w:val="32"/>
          <w:szCs w:val="32"/>
        </w:rPr>
        <w:t>.3</w:t>
      </w:r>
      <w:r w:rsidR="00237A28" w:rsidRPr="0007096F">
        <w:rPr>
          <w:rFonts w:ascii="仿宋_GB2312" w:eastAsia="仿宋_GB2312" w:hAnsiTheme="minorEastAsia" w:hint="eastAsia"/>
          <w:sz w:val="32"/>
          <w:szCs w:val="32"/>
        </w:rPr>
        <w:t>）</w:t>
      </w:r>
      <w:r w:rsidR="00E22FF7" w:rsidRPr="0007096F">
        <w:rPr>
          <w:rFonts w:ascii="仿宋_GB2312" w:eastAsia="仿宋_GB2312" w:hAnsiTheme="minorEastAsia" w:hint="eastAsia"/>
          <w:sz w:val="32"/>
          <w:szCs w:val="32"/>
        </w:rPr>
        <w:t>，房价涨幅与人口、居民收入、货币量等需求侧要素呈明显的正相关性，</w:t>
      </w:r>
      <w:r w:rsidR="00237A28" w:rsidRPr="0007096F">
        <w:rPr>
          <w:rFonts w:ascii="仿宋_GB2312" w:eastAsia="仿宋_GB2312" w:hAnsiTheme="minorEastAsia" w:hint="eastAsia"/>
          <w:sz w:val="32"/>
          <w:szCs w:val="32"/>
        </w:rPr>
        <w:t>供应量增加</w:t>
      </w:r>
      <w:r w:rsidR="00E22FF7" w:rsidRPr="0007096F">
        <w:rPr>
          <w:rFonts w:ascii="仿宋_GB2312" w:eastAsia="仿宋_GB2312" w:hAnsiTheme="minorEastAsia" w:hint="eastAsia"/>
          <w:sz w:val="32"/>
          <w:szCs w:val="32"/>
        </w:rPr>
        <w:t>不能满足人们的对住房的需求，最终导致房价快速上涨</w:t>
      </w:r>
      <w:r w:rsidR="00B06EB7" w:rsidRPr="0007096F">
        <w:rPr>
          <w:rFonts w:ascii="仿宋_GB2312" w:eastAsia="仿宋_GB2312" w:hAnsiTheme="minorEastAsia" w:hint="eastAsia"/>
          <w:sz w:val="32"/>
          <w:szCs w:val="32"/>
        </w:rPr>
        <w:t>。</w:t>
      </w:r>
    </w:p>
    <w:p w:rsidR="006F2ABE" w:rsidRPr="00B42832" w:rsidRDefault="006F2ABE" w:rsidP="00B42832">
      <w:pPr>
        <w:widowControl/>
        <w:spacing w:line="360" w:lineRule="auto"/>
        <w:jc w:val="center"/>
        <w:rPr>
          <w:rFonts w:asciiTheme="minorEastAsia" w:hAnsiTheme="minorEastAsia"/>
          <w:sz w:val="24"/>
          <w:szCs w:val="24"/>
        </w:rPr>
      </w:pPr>
      <w:r w:rsidRPr="00B42832">
        <w:rPr>
          <w:rFonts w:asciiTheme="minorEastAsia" w:hAnsiTheme="minorEastAsia"/>
          <w:noProof/>
          <w:sz w:val="24"/>
          <w:szCs w:val="24"/>
        </w:rPr>
        <w:lastRenderedPageBreak/>
        <w:drawing>
          <wp:inline distT="0" distB="0" distL="0" distR="0">
            <wp:extent cx="3552825" cy="2809381"/>
            <wp:effectExtent l="19050" t="0" r="9525" b="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3554411" cy="2810635"/>
                    </a:xfrm>
                    <a:prstGeom prst="rect">
                      <a:avLst/>
                    </a:prstGeom>
                    <a:noFill/>
                  </pic:spPr>
                </pic:pic>
              </a:graphicData>
            </a:graphic>
          </wp:inline>
        </w:drawing>
      </w:r>
    </w:p>
    <w:p w:rsidR="006F2ABE" w:rsidRPr="0007096F" w:rsidRDefault="006F2ABE" w:rsidP="00B42832">
      <w:pPr>
        <w:widowControl/>
        <w:spacing w:line="360" w:lineRule="auto"/>
        <w:ind w:firstLineChars="200" w:firstLine="406"/>
        <w:jc w:val="center"/>
        <w:rPr>
          <w:rFonts w:asciiTheme="minorEastAsia" w:hAnsiTheme="minorEastAsia"/>
          <w:b/>
          <w:spacing w:val="-4"/>
          <w:szCs w:val="21"/>
        </w:rPr>
      </w:pPr>
      <w:r w:rsidRPr="0007096F">
        <w:rPr>
          <w:rFonts w:asciiTheme="minorEastAsia" w:hAnsiTheme="minorEastAsia" w:hint="eastAsia"/>
          <w:b/>
          <w:spacing w:val="-4"/>
          <w:szCs w:val="21"/>
        </w:rPr>
        <w:t>图</w:t>
      </w:r>
      <w:r w:rsidR="0023345B" w:rsidRPr="0007096F">
        <w:rPr>
          <w:rFonts w:asciiTheme="minorEastAsia" w:hAnsiTheme="minorEastAsia" w:hint="eastAsia"/>
          <w:b/>
          <w:spacing w:val="-4"/>
          <w:szCs w:val="21"/>
        </w:rPr>
        <w:t>2</w:t>
      </w:r>
      <w:r w:rsidR="006B766E" w:rsidRPr="0007096F">
        <w:rPr>
          <w:rFonts w:asciiTheme="minorEastAsia" w:hAnsiTheme="minorEastAsia" w:hint="eastAsia"/>
          <w:b/>
          <w:spacing w:val="-4"/>
          <w:szCs w:val="21"/>
        </w:rPr>
        <w:t>.3</w:t>
      </w:r>
      <w:r w:rsidRPr="0007096F">
        <w:rPr>
          <w:rFonts w:asciiTheme="minorEastAsia" w:hAnsiTheme="minorEastAsia" w:hint="eastAsia"/>
          <w:b/>
          <w:spacing w:val="-4"/>
          <w:szCs w:val="21"/>
        </w:rPr>
        <w:t>上海市1999-2007年人口总量及居民收入变化（数据来源：上海统计局官方网站）</w:t>
      </w:r>
    </w:p>
    <w:p w:rsidR="0055120C" w:rsidRPr="00A973A0" w:rsidRDefault="00CC455E" w:rsidP="00B42832">
      <w:pPr>
        <w:widowControl/>
        <w:spacing w:line="360" w:lineRule="auto"/>
        <w:ind w:firstLineChars="200" w:firstLine="640"/>
        <w:rPr>
          <w:rFonts w:ascii="仿宋_GB2312" w:eastAsia="仿宋_GB2312" w:hAnsiTheme="minorEastAsia"/>
          <w:sz w:val="32"/>
          <w:szCs w:val="32"/>
        </w:rPr>
      </w:pPr>
      <w:r w:rsidRPr="00A973A0">
        <w:rPr>
          <w:rFonts w:ascii="仿宋_GB2312" w:eastAsia="仿宋_GB2312" w:hAnsiTheme="minorEastAsia" w:hint="eastAsia"/>
          <w:sz w:val="32"/>
          <w:szCs w:val="32"/>
        </w:rPr>
        <w:t>第三阶段，</w:t>
      </w:r>
      <w:r w:rsidR="00373A1E" w:rsidRPr="00A973A0">
        <w:rPr>
          <w:rFonts w:ascii="仿宋_GB2312" w:eastAsia="仿宋_GB2312" w:hAnsiTheme="minorEastAsia" w:hint="eastAsia"/>
          <w:sz w:val="32"/>
          <w:szCs w:val="32"/>
        </w:rPr>
        <w:t>2008年</w:t>
      </w:r>
      <w:r w:rsidRPr="00A973A0">
        <w:rPr>
          <w:rFonts w:ascii="仿宋_GB2312" w:eastAsia="仿宋_GB2312" w:hAnsiTheme="minorEastAsia" w:hint="eastAsia"/>
          <w:sz w:val="32"/>
          <w:szCs w:val="32"/>
        </w:rPr>
        <w:t>后</w:t>
      </w:r>
      <w:r w:rsidR="00364367" w:rsidRPr="00A973A0">
        <w:rPr>
          <w:rFonts w:ascii="仿宋_GB2312" w:eastAsia="仿宋_GB2312" w:hAnsiTheme="minorEastAsia" w:hint="eastAsia"/>
          <w:sz w:val="32"/>
          <w:szCs w:val="32"/>
        </w:rPr>
        <w:t>，</w:t>
      </w:r>
      <w:r w:rsidR="006B766E" w:rsidRPr="00A973A0">
        <w:rPr>
          <w:rFonts w:ascii="仿宋_GB2312" w:eastAsia="仿宋_GB2312" w:hAnsiTheme="minorEastAsia" w:hint="eastAsia"/>
          <w:sz w:val="32"/>
          <w:szCs w:val="32"/>
        </w:rPr>
        <w:t>受全球金融影响</w:t>
      </w:r>
      <w:r w:rsidR="00373A1E" w:rsidRPr="00A973A0">
        <w:rPr>
          <w:rFonts w:ascii="仿宋_GB2312" w:eastAsia="仿宋_GB2312" w:hAnsiTheme="minorEastAsia" w:hint="eastAsia"/>
          <w:sz w:val="32"/>
          <w:szCs w:val="32"/>
        </w:rPr>
        <w:t>，</w:t>
      </w:r>
      <w:r w:rsidR="006F2ABE" w:rsidRPr="00A973A0">
        <w:rPr>
          <w:rFonts w:ascii="仿宋_GB2312" w:eastAsia="仿宋_GB2312" w:hAnsiTheme="minorEastAsia" w:hint="eastAsia"/>
          <w:sz w:val="32"/>
          <w:szCs w:val="32"/>
        </w:rPr>
        <w:t>上海</w:t>
      </w:r>
      <w:r w:rsidR="00373A1E" w:rsidRPr="00A973A0">
        <w:rPr>
          <w:rFonts w:ascii="仿宋_GB2312" w:eastAsia="仿宋_GB2312" w:hAnsiTheme="minorEastAsia" w:hint="eastAsia"/>
          <w:sz w:val="32"/>
          <w:szCs w:val="32"/>
        </w:rPr>
        <w:t>住宅供应出现拐点，当年住宅竣工面积为</w:t>
      </w:r>
      <w:r w:rsidR="006F2ABE" w:rsidRPr="00A973A0">
        <w:rPr>
          <w:rFonts w:ascii="仿宋_GB2312" w:eastAsia="仿宋_GB2312" w:hAnsiTheme="minorEastAsia" w:hint="eastAsia"/>
          <w:sz w:val="32"/>
          <w:szCs w:val="32"/>
        </w:rPr>
        <w:t>1899万平米</w:t>
      </w:r>
      <w:r w:rsidR="00373A1E" w:rsidRPr="00A973A0">
        <w:rPr>
          <w:rFonts w:ascii="仿宋_GB2312" w:eastAsia="仿宋_GB2312" w:hAnsiTheme="minorEastAsia" w:hint="eastAsia"/>
          <w:sz w:val="32"/>
          <w:szCs w:val="32"/>
        </w:rPr>
        <w:t>，</w:t>
      </w:r>
      <w:r w:rsidR="006F2ABE" w:rsidRPr="00A973A0">
        <w:rPr>
          <w:rFonts w:ascii="仿宋_GB2312" w:eastAsia="仿宋_GB2312" w:hAnsiTheme="minorEastAsia" w:hint="eastAsia"/>
          <w:sz w:val="32"/>
          <w:szCs w:val="32"/>
        </w:rPr>
        <w:t>较2007年高点减少</w:t>
      </w:r>
      <w:r w:rsidR="006B578C" w:rsidRPr="00A973A0">
        <w:rPr>
          <w:rFonts w:ascii="仿宋_GB2312" w:eastAsia="仿宋_GB2312" w:hAnsiTheme="minorEastAsia" w:hint="eastAsia"/>
          <w:sz w:val="32"/>
          <w:szCs w:val="32"/>
        </w:rPr>
        <w:t>了</w:t>
      </w:r>
      <w:r w:rsidR="006B766E" w:rsidRPr="00A973A0">
        <w:rPr>
          <w:rFonts w:ascii="仿宋_GB2312" w:eastAsia="仿宋_GB2312" w:hAnsiTheme="minorEastAsia" w:hint="eastAsia"/>
          <w:sz w:val="32"/>
          <w:szCs w:val="32"/>
        </w:rPr>
        <w:t>近</w:t>
      </w:r>
      <w:r w:rsidR="006F2ABE" w:rsidRPr="00A973A0">
        <w:rPr>
          <w:rFonts w:ascii="仿宋_GB2312" w:eastAsia="仿宋_GB2312" w:hAnsiTheme="minorEastAsia" w:hint="eastAsia"/>
          <w:sz w:val="32"/>
          <w:szCs w:val="32"/>
        </w:rPr>
        <w:t>1000万平米，</w:t>
      </w:r>
      <w:r w:rsidRPr="00A973A0">
        <w:rPr>
          <w:rFonts w:ascii="仿宋_GB2312" w:eastAsia="仿宋_GB2312" w:hAnsiTheme="minorEastAsia" w:hint="eastAsia"/>
          <w:sz w:val="32"/>
          <w:szCs w:val="32"/>
        </w:rPr>
        <w:t>但是</w:t>
      </w:r>
      <w:r w:rsidR="006B578C" w:rsidRPr="00A973A0">
        <w:rPr>
          <w:rFonts w:ascii="仿宋_GB2312" w:eastAsia="仿宋_GB2312" w:hAnsiTheme="minorEastAsia" w:hint="eastAsia"/>
          <w:sz w:val="32"/>
          <w:szCs w:val="32"/>
        </w:rPr>
        <w:t>与此同时，住房需求并未下降</w:t>
      </w:r>
      <w:r w:rsidR="006F2ABE" w:rsidRPr="00A973A0">
        <w:rPr>
          <w:rFonts w:ascii="仿宋_GB2312" w:eastAsia="仿宋_GB2312" w:hAnsiTheme="minorEastAsia" w:hint="eastAsia"/>
          <w:sz w:val="32"/>
          <w:szCs w:val="32"/>
        </w:rPr>
        <w:t>，</w:t>
      </w:r>
      <w:r w:rsidR="006B578C" w:rsidRPr="00A973A0">
        <w:rPr>
          <w:rFonts w:ascii="仿宋_GB2312" w:eastAsia="仿宋_GB2312" w:hAnsiTheme="minorEastAsia" w:hint="eastAsia"/>
          <w:sz w:val="32"/>
          <w:szCs w:val="32"/>
        </w:rPr>
        <w:t>2008年上海城镇居民人均住房面积仅有15.5平米，</w:t>
      </w:r>
      <w:r w:rsidR="000723F9" w:rsidRPr="00A973A0">
        <w:rPr>
          <w:rFonts w:ascii="仿宋_GB2312" w:eastAsia="仿宋_GB2312" w:hAnsiTheme="minorEastAsia" w:hint="eastAsia"/>
          <w:sz w:val="32"/>
          <w:szCs w:val="32"/>
        </w:rPr>
        <w:t>远低于全国28.1平米的平均水平，</w:t>
      </w:r>
      <w:r w:rsidR="006B578C" w:rsidRPr="00A973A0">
        <w:rPr>
          <w:rFonts w:ascii="仿宋_GB2312" w:eastAsia="仿宋_GB2312" w:hAnsiTheme="minorEastAsia" w:hint="eastAsia"/>
          <w:sz w:val="32"/>
          <w:szCs w:val="32"/>
        </w:rPr>
        <w:t>人口和居民收入</w:t>
      </w:r>
      <w:r w:rsidR="000723F9" w:rsidRPr="00A973A0">
        <w:rPr>
          <w:rFonts w:ascii="仿宋_GB2312" w:eastAsia="仿宋_GB2312" w:hAnsiTheme="minorEastAsia" w:hint="eastAsia"/>
          <w:sz w:val="32"/>
          <w:szCs w:val="32"/>
        </w:rPr>
        <w:t>还处于</w:t>
      </w:r>
      <w:r w:rsidR="006B578C" w:rsidRPr="00A973A0">
        <w:rPr>
          <w:rFonts w:ascii="仿宋_GB2312" w:eastAsia="仿宋_GB2312" w:hAnsiTheme="minorEastAsia" w:hint="eastAsia"/>
          <w:sz w:val="32"/>
          <w:szCs w:val="32"/>
        </w:rPr>
        <w:t>持续增长</w:t>
      </w:r>
      <w:r w:rsidR="000723F9" w:rsidRPr="00A973A0">
        <w:rPr>
          <w:rFonts w:ascii="仿宋_GB2312" w:eastAsia="仿宋_GB2312" w:hAnsiTheme="minorEastAsia" w:hint="eastAsia"/>
          <w:sz w:val="32"/>
          <w:szCs w:val="32"/>
        </w:rPr>
        <w:t>阶段</w:t>
      </w:r>
      <w:r w:rsidR="006B578C" w:rsidRPr="00A973A0">
        <w:rPr>
          <w:rFonts w:ascii="仿宋_GB2312" w:eastAsia="仿宋_GB2312" w:hAnsiTheme="minorEastAsia" w:hint="eastAsia"/>
          <w:sz w:val="32"/>
          <w:szCs w:val="32"/>
        </w:rPr>
        <w:t>，</w:t>
      </w:r>
      <w:r w:rsidR="006B766E" w:rsidRPr="00A973A0">
        <w:rPr>
          <w:rFonts w:ascii="仿宋_GB2312" w:eastAsia="仿宋_GB2312" w:hAnsiTheme="minorEastAsia" w:hint="eastAsia"/>
          <w:sz w:val="32"/>
          <w:szCs w:val="32"/>
        </w:rPr>
        <w:t>再加上当时宽松的货币政策，</w:t>
      </w:r>
      <w:r w:rsidR="006B578C" w:rsidRPr="00A973A0">
        <w:rPr>
          <w:rFonts w:ascii="仿宋_GB2312" w:eastAsia="仿宋_GB2312" w:hAnsiTheme="minorEastAsia" w:hint="eastAsia"/>
          <w:b/>
          <w:sz w:val="32"/>
          <w:szCs w:val="32"/>
        </w:rPr>
        <w:t>供给侧的减少叠加需求侧的</w:t>
      </w:r>
      <w:r w:rsidR="000723F9" w:rsidRPr="00A973A0">
        <w:rPr>
          <w:rFonts w:ascii="仿宋_GB2312" w:eastAsia="仿宋_GB2312" w:hAnsiTheme="minorEastAsia" w:hint="eastAsia"/>
          <w:b/>
          <w:sz w:val="32"/>
          <w:szCs w:val="32"/>
        </w:rPr>
        <w:t>增加</w:t>
      </w:r>
      <w:r w:rsidR="006B578C" w:rsidRPr="00A973A0">
        <w:rPr>
          <w:rFonts w:ascii="仿宋_GB2312" w:eastAsia="仿宋_GB2312" w:hAnsiTheme="minorEastAsia" w:hint="eastAsia"/>
          <w:b/>
          <w:sz w:val="32"/>
          <w:szCs w:val="32"/>
        </w:rPr>
        <w:t>，</w:t>
      </w:r>
      <w:r w:rsidR="000723F9" w:rsidRPr="00A973A0">
        <w:rPr>
          <w:rFonts w:ascii="仿宋_GB2312" w:eastAsia="仿宋_GB2312" w:hAnsiTheme="minorEastAsia" w:hint="eastAsia"/>
          <w:b/>
          <w:sz w:val="32"/>
          <w:szCs w:val="32"/>
        </w:rPr>
        <w:t>造成更加严重的供需不平衡，</w:t>
      </w:r>
      <w:r w:rsidR="00373A1E" w:rsidRPr="00A973A0">
        <w:rPr>
          <w:rFonts w:ascii="仿宋_GB2312" w:eastAsia="仿宋_GB2312" w:hAnsiTheme="minorEastAsia" w:hint="eastAsia"/>
          <w:b/>
          <w:sz w:val="32"/>
          <w:szCs w:val="32"/>
        </w:rPr>
        <w:t>随之而来的2009年房价涨幅达到</w:t>
      </w:r>
      <w:r w:rsidR="000723F9" w:rsidRPr="00A973A0">
        <w:rPr>
          <w:rFonts w:ascii="仿宋_GB2312" w:eastAsia="仿宋_GB2312" w:hAnsiTheme="minorEastAsia" w:hint="eastAsia"/>
          <w:b/>
          <w:sz w:val="32"/>
          <w:szCs w:val="32"/>
        </w:rPr>
        <w:t>35%的历史高点</w:t>
      </w:r>
      <w:r w:rsidR="00C34DD0" w:rsidRPr="00A973A0">
        <w:rPr>
          <w:rFonts w:ascii="仿宋_GB2312" w:eastAsia="仿宋_GB2312" w:hAnsiTheme="minorEastAsia" w:hint="eastAsia"/>
          <w:b/>
          <w:sz w:val="32"/>
          <w:szCs w:val="32"/>
        </w:rPr>
        <w:t>（图</w:t>
      </w:r>
      <w:r w:rsidR="00B71E0E" w:rsidRPr="00A973A0">
        <w:rPr>
          <w:rFonts w:ascii="仿宋_GB2312" w:eastAsia="仿宋_GB2312" w:hAnsiTheme="minorEastAsia" w:hint="eastAsia"/>
          <w:b/>
          <w:sz w:val="32"/>
          <w:szCs w:val="32"/>
        </w:rPr>
        <w:t>2</w:t>
      </w:r>
      <w:r w:rsidR="00C34DD0" w:rsidRPr="00A973A0">
        <w:rPr>
          <w:rFonts w:ascii="仿宋_GB2312" w:eastAsia="仿宋_GB2312" w:hAnsiTheme="minorEastAsia" w:hint="eastAsia"/>
          <w:b/>
          <w:sz w:val="32"/>
          <w:szCs w:val="32"/>
        </w:rPr>
        <w:t>.2）</w:t>
      </w:r>
      <w:r w:rsidR="000723F9" w:rsidRPr="00A973A0">
        <w:rPr>
          <w:rFonts w:ascii="仿宋_GB2312" w:eastAsia="仿宋_GB2312" w:hAnsiTheme="minorEastAsia" w:hint="eastAsia"/>
          <w:sz w:val="32"/>
          <w:szCs w:val="32"/>
        </w:rPr>
        <w:t>，房价增长远高于居民收入水平，2011年上海市政府开始实施严格的限购政策，抑制需求，同时在供给端增加保障房和中小户型的供应，调控政策起到了阶段性的作用，2011-2012年，</w:t>
      </w:r>
      <w:r w:rsidR="006B766E" w:rsidRPr="00A973A0">
        <w:rPr>
          <w:rFonts w:ascii="仿宋_GB2312" w:eastAsia="仿宋_GB2312" w:hAnsiTheme="minorEastAsia" w:hint="eastAsia"/>
          <w:sz w:val="32"/>
          <w:szCs w:val="32"/>
        </w:rPr>
        <w:t>房价涨幅收窄（图</w:t>
      </w:r>
      <w:r w:rsidR="00B71E0E" w:rsidRPr="00A973A0">
        <w:rPr>
          <w:rFonts w:ascii="仿宋_GB2312" w:eastAsia="仿宋_GB2312" w:hAnsiTheme="minorEastAsia" w:hint="eastAsia"/>
          <w:sz w:val="32"/>
          <w:szCs w:val="32"/>
        </w:rPr>
        <w:t>2.2</w:t>
      </w:r>
      <w:r w:rsidR="006B766E" w:rsidRPr="00A973A0">
        <w:rPr>
          <w:rFonts w:ascii="仿宋_GB2312" w:eastAsia="仿宋_GB2312" w:hAnsiTheme="minorEastAsia" w:hint="eastAsia"/>
          <w:sz w:val="32"/>
          <w:szCs w:val="32"/>
        </w:rPr>
        <w:t>）</w:t>
      </w:r>
      <w:r w:rsidR="00960CAA" w:rsidRPr="00A973A0">
        <w:rPr>
          <w:rFonts w:ascii="仿宋_GB2312" w:eastAsia="仿宋_GB2312" w:hAnsiTheme="minorEastAsia" w:hint="eastAsia"/>
          <w:sz w:val="32"/>
          <w:szCs w:val="32"/>
        </w:rPr>
        <w:t>。</w:t>
      </w:r>
      <w:r w:rsidR="00C33154" w:rsidRPr="00A973A0">
        <w:rPr>
          <w:rFonts w:ascii="仿宋_GB2312" w:eastAsia="仿宋_GB2312" w:hAnsiTheme="minorEastAsia" w:hint="eastAsia"/>
          <w:sz w:val="32"/>
          <w:szCs w:val="32"/>
        </w:rPr>
        <w:t>随着</w:t>
      </w:r>
      <w:r w:rsidR="00960CAA" w:rsidRPr="00A973A0">
        <w:rPr>
          <w:rFonts w:ascii="仿宋_GB2312" w:eastAsia="仿宋_GB2312" w:hAnsiTheme="minorEastAsia" w:hint="eastAsia"/>
          <w:sz w:val="32"/>
          <w:szCs w:val="32"/>
        </w:rPr>
        <w:t>上海用地总量接近天花板，用地政策开始收紧，2012</w:t>
      </w:r>
      <w:r w:rsidR="00022DE3" w:rsidRPr="00A973A0">
        <w:rPr>
          <w:rFonts w:ascii="仿宋_GB2312" w:eastAsia="仿宋_GB2312" w:hAnsiTheme="minorEastAsia" w:hint="eastAsia"/>
          <w:sz w:val="32"/>
          <w:szCs w:val="32"/>
        </w:rPr>
        <w:t>年</w:t>
      </w:r>
      <w:r w:rsidR="00960CAA" w:rsidRPr="00A973A0">
        <w:rPr>
          <w:rFonts w:ascii="仿宋_GB2312" w:eastAsia="仿宋_GB2312" w:hAnsiTheme="minorEastAsia" w:hint="eastAsia"/>
          <w:sz w:val="32"/>
          <w:szCs w:val="32"/>
        </w:rPr>
        <w:t>住宅用地供应</w:t>
      </w:r>
      <w:r w:rsidR="004F72D6" w:rsidRPr="00A973A0">
        <w:rPr>
          <w:rFonts w:ascii="仿宋_GB2312" w:eastAsia="仿宋_GB2312" w:hAnsiTheme="minorEastAsia" w:hint="eastAsia"/>
          <w:sz w:val="32"/>
          <w:szCs w:val="32"/>
        </w:rPr>
        <w:t>出现拐点，当年住宅用地供应量仅为724公顷</w:t>
      </w:r>
      <w:r w:rsidR="00960CAA" w:rsidRPr="00A973A0">
        <w:rPr>
          <w:rFonts w:ascii="仿宋_GB2312" w:eastAsia="仿宋_GB2312" w:hAnsiTheme="minorEastAsia" w:hint="eastAsia"/>
          <w:sz w:val="32"/>
          <w:szCs w:val="32"/>
        </w:rPr>
        <w:t>（图</w:t>
      </w:r>
      <w:r w:rsidR="00394614" w:rsidRPr="00A973A0">
        <w:rPr>
          <w:rFonts w:ascii="仿宋_GB2312" w:eastAsia="仿宋_GB2312" w:hAnsiTheme="minorEastAsia" w:hint="eastAsia"/>
          <w:sz w:val="32"/>
          <w:szCs w:val="32"/>
        </w:rPr>
        <w:t>2</w:t>
      </w:r>
      <w:r w:rsidR="00960CAA" w:rsidRPr="00A973A0">
        <w:rPr>
          <w:rFonts w:ascii="仿宋_GB2312" w:eastAsia="仿宋_GB2312" w:hAnsiTheme="minorEastAsia" w:hint="eastAsia"/>
          <w:sz w:val="32"/>
          <w:szCs w:val="32"/>
        </w:rPr>
        <w:t>.1），</w:t>
      </w:r>
      <w:r w:rsidR="004F72D6" w:rsidRPr="00A973A0">
        <w:rPr>
          <w:rFonts w:ascii="仿宋_GB2312" w:eastAsia="仿宋_GB2312" w:hAnsiTheme="minorEastAsia" w:hint="eastAsia"/>
          <w:sz w:val="32"/>
          <w:szCs w:val="32"/>
        </w:rPr>
        <w:t>较2011年大幅减少650公顷，</w:t>
      </w:r>
      <w:r w:rsidR="004F72D6" w:rsidRPr="00A973A0">
        <w:rPr>
          <w:rFonts w:ascii="仿宋_GB2312" w:eastAsia="仿宋_GB2312" w:hAnsiTheme="minorEastAsia" w:hint="eastAsia"/>
          <w:sz w:val="32"/>
          <w:szCs w:val="32"/>
        </w:rPr>
        <w:lastRenderedPageBreak/>
        <w:t>此后一直未能有效增加，住宅用地</w:t>
      </w:r>
      <w:r w:rsidR="00B56843" w:rsidRPr="00A973A0">
        <w:rPr>
          <w:rFonts w:ascii="仿宋_GB2312" w:eastAsia="仿宋_GB2312" w:hAnsiTheme="minorEastAsia" w:hint="eastAsia"/>
          <w:sz w:val="32"/>
          <w:szCs w:val="32"/>
        </w:rPr>
        <w:t>以及商品住宅</w:t>
      </w:r>
      <w:r w:rsidR="004F72D6" w:rsidRPr="00A973A0">
        <w:rPr>
          <w:rFonts w:ascii="仿宋_GB2312" w:eastAsia="仿宋_GB2312" w:hAnsiTheme="minorEastAsia" w:hint="eastAsia"/>
          <w:sz w:val="32"/>
          <w:szCs w:val="32"/>
        </w:rPr>
        <w:t>供应呈现L型</w:t>
      </w:r>
      <w:r w:rsidR="00022DE3" w:rsidRPr="00A973A0">
        <w:rPr>
          <w:rFonts w:ascii="仿宋_GB2312" w:eastAsia="仿宋_GB2312" w:hAnsiTheme="minorEastAsia" w:hint="eastAsia"/>
          <w:sz w:val="32"/>
          <w:szCs w:val="32"/>
        </w:rPr>
        <w:t>下行</w:t>
      </w:r>
      <w:r w:rsidR="00B56843" w:rsidRPr="00A973A0">
        <w:rPr>
          <w:rFonts w:ascii="仿宋_GB2312" w:eastAsia="仿宋_GB2312" w:hAnsiTheme="minorEastAsia" w:hint="eastAsia"/>
          <w:sz w:val="32"/>
          <w:szCs w:val="32"/>
        </w:rPr>
        <w:t>趋势</w:t>
      </w:r>
      <w:r w:rsidR="004F72D6" w:rsidRPr="00A973A0">
        <w:rPr>
          <w:rFonts w:ascii="仿宋_GB2312" w:eastAsia="仿宋_GB2312" w:hAnsiTheme="minorEastAsia" w:hint="eastAsia"/>
          <w:sz w:val="32"/>
          <w:szCs w:val="32"/>
        </w:rPr>
        <w:t>，而</w:t>
      </w:r>
      <w:r w:rsidR="00B56843" w:rsidRPr="00A973A0">
        <w:rPr>
          <w:rFonts w:ascii="仿宋_GB2312" w:eastAsia="仿宋_GB2312" w:hAnsiTheme="minorEastAsia" w:hint="eastAsia"/>
          <w:sz w:val="32"/>
          <w:szCs w:val="32"/>
        </w:rPr>
        <w:t>保障房用地又</w:t>
      </w:r>
      <w:r w:rsidR="004F72D6" w:rsidRPr="00A973A0">
        <w:rPr>
          <w:rFonts w:ascii="仿宋_GB2312" w:eastAsia="仿宋_GB2312" w:hAnsiTheme="minorEastAsia" w:hint="eastAsia"/>
          <w:sz w:val="32"/>
          <w:szCs w:val="32"/>
        </w:rPr>
        <w:t>挤压了商品住宅用地空间，更加造成商品住宅用地紧缺，2013</w:t>
      </w:r>
      <w:r w:rsidR="00022DE3" w:rsidRPr="00A973A0">
        <w:rPr>
          <w:rFonts w:ascii="仿宋_GB2312" w:eastAsia="仿宋_GB2312" w:hAnsiTheme="minorEastAsia" w:hint="eastAsia"/>
          <w:sz w:val="32"/>
          <w:szCs w:val="32"/>
        </w:rPr>
        <w:t>年起</w:t>
      </w:r>
      <w:r w:rsidR="004F72D6" w:rsidRPr="00A973A0">
        <w:rPr>
          <w:rFonts w:ascii="仿宋_GB2312" w:eastAsia="仿宋_GB2312" w:hAnsiTheme="minorEastAsia" w:hint="eastAsia"/>
          <w:sz w:val="32"/>
          <w:szCs w:val="32"/>
        </w:rPr>
        <w:t>，住房价格又开始新一轮的上涨，</w:t>
      </w:r>
      <w:r w:rsidR="001D67D2" w:rsidRPr="00A973A0">
        <w:rPr>
          <w:rFonts w:ascii="仿宋_GB2312" w:eastAsia="仿宋_GB2312" w:hAnsiTheme="minorEastAsia" w:hint="eastAsia"/>
          <w:sz w:val="32"/>
          <w:szCs w:val="32"/>
        </w:rPr>
        <w:t>伴随着这一轮的房价上涨，上海天价地王现象越演越烈，地价的上涨又推动房价不断上涨，二者反复螺旋式上升。</w:t>
      </w:r>
      <w:r w:rsidR="001D67D2" w:rsidRPr="00A973A0">
        <w:rPr>
          <w:rFonts w:ascii="仿宋_GB2312" w:eastAsia="仿宋_GB2312" w:hAnsiTheme="minorEastAsia" w:hint="eastAsia"/>
          <w:b/>
          <w:sz w:val="32"/>
          <w:szCs w:val="32"/>
        </w:rPr>
        <w:t>究其原因还是因为土地供应的日趋紧张造成住房供应不足</w:t>
      </w:r>
      <w:r w:rsidR="001D67D2" w:rsidRPr="00A973A0">
        <w:rPr>
          <w:rFonts w:ascii="仿宋_GB2312" w:eastAsia="仿宋_GB2312" w:hAnsiTheme="minorEastAsia" w:hint="eastAsia"/>
          <w:sz w:val="32"/>
          <w:szCs w:val="32"/>
        </w:rPr>
        <w:t>，期间国土部和上海市地方政府出台了一系列用地紧缩政策，如2014年国土资源部工作会议要求“改革完善土地利用计划管理方式，合理分解计划指标，压缩东部地区特别是京津冀、长三角、珠三角三大城市群建设用地规模，减少工业用地。除生活用地外，</w:t>
      </w:r>
      <w:r w:rsidR="001D67D2" w:rsidRPr="00A973A0">
        <w:rPr>
          <w:rFonts w:ascii="仿宋_GB2312" w:eastAsia="仿宋_GB2312" w:hAnsiTheme="minorEastAsia" w:hint="eastAsia"/>
          <w:b/>
          <w:sz w:val="32"/>
          <w:szCs w:val="32"/>
        </w:rPr>
        <w:t>原则上不再安排人口500万以上特大城市新增建设用地”。</w:t>
      </w:r>
      <w:r w:rsidR="001D67D2" w:rsidRPr="00A973A0">
        <w:rPr>
          <w:rFonts w:ascii="仿宋_GB2312" w:eastAsia="仿宋_GB2312" w:hAnsiTheme="minorEastAsia" w:hint="eastAsia"/>
          <w:sz w:val="32"/>
          <w:szCs w:val="32"/>
        </w:rPr>
        <w:t>上海市</w:t>
      </w:r>
      <w:r w:rsidR="008A1395" w:rsidRPr="00A973A0">
        <w:rPr>
          <w:rFonts w:ascii="仿宋_GB2312" w:eastAsia="仿宋_GB2312" w:hAnsiTheme="minorEastAsia" w:hint="eastAsia"/>
          <w:sz w:val="32"/>
          <w:szCs w:val="32"/>
        </w:rPr>
        <w:t>也配套出台了</w:t>
      </w:r>
      <w:r w:rsidR="008A1395" w:rsidRPr="00A973A0">
        <w:rPr>
          <w:rFonts w:ascii="仿宋_GB2312" w:eastAsia="仿宋_GB2312" w:hAnsiTheme="minorEastAsia" w:hint="eastAsia"/>
          <w:b/>
          <w:sz w:val="32"/>
          <w:szCs w:val="32"/>
        </w:rPr>
        <w:t>《关于进一步提高本市土地节约集约利用水平的若干意见》</w:t>
      </w:r>
      <w:r w:rsidR="008A1395" w:rsidRPr="00A973A0">
        <w:rPr>
          <w:rFonts w:ascii="仿宋_GB2312" w:eastAsia="仿宋_GB2312" w:hAnsiTheme="minorEastAsia" w:hint="eastAsia"/>
          <w:sz w:val="32"/>
          <w:szCs w:val="32"/>
        </w:rPr>
        <w:t>等政策</w:t>
      </w:r>
      <w:r w:rsidR="008A1395" w:rsidRPr="00A973A0">
        <w:rPr>
          <w:rFonts w:ascii="仿宋_GB2312" w:eastAsia="仿宋_GB2312" w:hAnsiTheme="minorEastAsia" w:hint="eastAsia"/>
          <w:b/>
          <w:sz w:val="32"/>
          <w:szCs w:val="32"/>
        </w:rPr>
        <w:t>，确定“总量锁定、增量递减、存量优化、流量增效、质量提高”的用地导向，将2020年上海用地总量锁定在3226平方公里的规模，</w:t>
      </w:r>
      <w:r w:rsidR="008A1395" w:rsidRPr="00A973A0">
        <w:rPr>
          <w:rFonts w:ascii="仿宋_GB2312" w:eastAsia="仿宋_GB2312" w:hAnsiTheme="minorEastAsia" w:hint="eastAsia"/>
          <w:sz w:val="32"/>
          <w:szCs w:val="32"/>
        </w:rPr>
        <w:t>市场对用地政策的出现了片面理解，认为上海未来将无地可供，</w:t>
      </w:r>
      <w:r w:rsidR="001D67D2" w:rsidRPr="00A973A0">
        <w:rPr>
          <w:rFonts w:ascii="仿宋_GB2312" w:eastAsia="仿宋_GB2312" w:hAnsiTheme="minorEastAsia" w:hint="eastAsia"/>
          <w:sz w:val="32"/>
          <w:szCs w:val="32"/>
        </w:rPr>
        <w:t>营造了土地紧缺的预期，开发商恐慌</w:t>
      </w:r>
      <w:r w:rsidR="008A1395" w:rsidRPr="00A973A0">
        <w:rPr>
          <w:rFonts w:ascii="仿宋_GB2312" w:eastAsia="仿宋_GB2312" w:hAnsiTheme="minorEastAsia" w:hint="eastAsia"/>
          <w:sz w:val="32"/>
          <w:szCs w:val="32"/>
        </w:rPr>
        <w:t>拿地，购房者恐慌买房，</w:t>
      </w:r>
      <w:r w:rsidR="0064042D" w:rsidRPr="00A973A0">
        <w:rPr>
          <w:rFonts w:ascii="仿宋_GB2312" w:eastAsia="仿宋_GB2312" w:hAnsiTheme="minorEastAsia" w:hint="eastAsia"/>
          <w:sz w:val="32"/>
          <w:szCs w:val="32"/>
        </w:rPr>
        <w:t>2016年上半年，“地王”、“日光”等房地产过热现象频现，</w:t>
      </w:r>
      <w:r w:rsidR="008A1395" w:rsidRPr="00A973A0">
        <w:rPr>
          <w:rFonts w:ascii="仿宋_GB2312" w:eastAsia="仿宋_GB2312" w:hAnsiTheme="minorEastAsia" w:hint="eastAsia"/>
          <w:sz w:val="32"/>
          <w:szCs w:val="32"/>
        </w:rPr>
        <w:t>上海房地产市场火热</w:t>
      </w:r>
      <w:r w:rsidR="0064042D" w:rsidRPr="00A973A0">
        <w:rPr>
          <w:rFonts w:ascii="仿宋_GB2312" w:eastAsia="仿宋_GB2312" w:hAnsiTheme="minorEastAsia" w:hint="eastAsia"/>
          <w:sz w:val="32"/>
          <w:szCs w:val="32"/>
        </w:rPr>
        <w:t>程</w:t>
      </w:r>
      <w:r w:rsidR="008A1395" w:rsidRPr="00A973A0">
        <w:rPr>
          <w:rFonts w:ascii="仿宋_GB2312" w:eastAsia="仿宋_GB2312" w:hAnsiTheme="minorEastAsia" w:hint="eastAsia"/>
          <w:sz w:val="32"/>
          <w:szCs w:val="32"/>
        </w:rPr>
        <w:t>度</w:t>
      </w:r>
      <w:r w:rsidR="0064042D" w:rsidRPr="00A973A0">
        <w:rPr>
          <w:rFonts w:ascii="仿宋_GB2312" w:eastAsia="仿宋_GB2312" w:hAnsiTheme="minorEastAsia" w:hint="eastAsia"/>
          <w:sz w:val="32"/>
          <w:szCs w:val="32"/>
        </w:rPr>
        <w:t>急剧攀升</w:t>
      </w:r>
      <w:r w:rsidR="00C33154" w:rsidRPr="00A973A0">
        <w:rPr>
          <w:rFonts w:ascii="仿宋_GB2312" w:eastAsia="仿宋_GB2312" w:hAnsiTheme="minorEastAsia" w:hint="eastAsia"/>
          <w:sz w:val="32"/>
          <w:szCs w:val="32"/>
        </w:rPr>
        <w:t>，</w:t>
      </w:r>
      <w:r w:rsidR="00E62C7D" w:rsidRPr="00A973A0">
        <w:rPr>
          <w:rFonts w:ascii="仿宋_GB2312" w:eastAsia="仿宋_GB2312" w:hAnsiTheme="minorEastAsia" w:hint="eastAsia"/>
          <w:sz w:val="32"/>
          <w:szCs w:val="32"/>
        </w:rPr>
        <w:t>在此背景下，当年</w:t>
      </w:r>
      <w:r w:rsidR="00C33154" w:rsidRPr="00A973A0">
        <w:rPr>
          <w:rFonts w:ascii="仿宋_GB2312" w:eastAsia="仿宋_GB2312" w:hAnsiTheme="minorEastAsia" w:hint="eastAsia"/>
          <w:sz w:val="32"/>
          <w:szCs w:val="32"/>
        </w:rPr>
        <w:t>上海市政府陆续出台了</w:t>
      </w:r>
      <w:r w:rsidR="008A1395" w:rsidRPr="00A973A0">
        <w:rPr>
          <w:rFonts w:ascii="仿宋_GB2312" w:eastAsia="仿宋_GB2312" w:hAnsiTheme="minorEastAsia" w:hint="eastAsia"/>
          <w:sz w:val="32"/>
          <w:szCs w:val="32"/>
        </w:rPr>
        <w:t>“325新政”</w:t>
      </w:r>
      <w:r w:rsidR="00C33154" w:rsidRPr="00A973A0">
        <w:rPr>
          <w:rFonts w:ascii="仿宋_GB2312" w:eastAsia="仿宋_GB2312" w:hAnsiTheme="minorEastAsia" w:hint="eastAsia"/>
          <w:sz w:val="32"/>
          <w:szCs w:val="32"/>
        </w:rPr>
        <w:t>和“1128”新政</w:t>
      </w:r>
      <w:r w:rsidR="008A1395" w:rsidRPr="00A973A0">
        <w:rPr>
          <w:rFonts w:ascii="仿宋_GB2312" w:eastAsia="仿宋_GB2312" w:hAnsiTheme="minorEastAsia" w:hint="eastAsia"/>
          <w:sz w:val="32"/>
          <w:szCs w:val="32"/>
        </w:rPr>
        <w:t>控制房价</w:t>
      </w:r>
      <w:r w:rsidR="00C33154" w:rsidRPr="00A973A0">
        <w:rPr>
          <w:rFonts w:ascii="仿宋_GB2312" w:eastAsia="仿宋_GB2312" w:hAnsiTheme="minorEastAsia" w:hint="eastAsia"/>
          <w:sz w:val="32"/>
          <w:szCs w:val="32"/>
        </w:rPr>
        <w:t>，提出在严格限购的基础上增加</w:t>
      </w:r>
      <w:r w:rsidR="0064042D" w:rsidRPr="00A973A0">
        <w:rPr>
          <w:rFonts w:ascii="仿宋_GB2312" w:eastAsia="仿宋_GB2312" w:hAnsiTheme="minorEastAsia" w:hint="eastAsia"/>
          <w:sz w:val="32"/>
          <w:szCs w:val="32"/>
        </w:rPr>
        <w:t>住房用地供应，从供给侧着手调控房地产市场</w:t>
      </w:r>
      <w:r w:rsidR="008A1395" w:rsidRPr="00A973A0">
        <w:rPr>
          <w:rFonts w:ascii="仿宋_GB2312" w:eastAsia="仿宋_GB2312" w:hAnsiTheme="minorEastAsia" w:hint="eastAsia"/>
          <w:sz w:val="32"/>
          <w:szCs w:val="32"/>
        </w:rPr>
        <w:t>。</w:t>
      </w:r>
    </w:p>
    <w:p w:rsidR="00CC455E" w:rsidRPr="00A973A0" w:rsidRDefault="00CC455E" w:rsidP="00B42832">
      <w:pPr>
        <w:widowControl/>
        <w:spacing w:line="360" w:lineRule="auto"/>
        <w:ind w:firstLineChars="200" w:firstLine="640"/>
        <w:rPr>
          <w:rFonts w:ascii="仿宋_GB2312" w:eastAsia="仿宋_GB2312" w:hAnsiTheme="minorEastAsia"/>
          <w:b/>
          <w:sz w:val="32"/>
          <w:szCs w:val="32"/>
        </w:rPr>
      </w:pPr>
      <w:r w:rsidRPr="00A973A0">
        <w:rPr>
          <w:rFonts w:ascii="仿宋_GB2312" w:eastAsia="仿宋_GB2312" w:hAnsiTheme="minorEastAsia" w:hint="eastAsia"/>
          <w:sz w:val="32"/>
          <w:szCs w:val="32"/>
        </w:rPr>
        <w:lastRenderedPageBreak/>
        <w:t>从上海房地产市场的发展历程看，住房供不应求是当前的主要矛盾，因此，</w:t>
      </w:r>
      <w:r w:rsidR="008C47A3" w:rsidRPr="00A973A0">
        <w:rPr>
          <w:rFonts w:ascii="仿宋_GB2312" w:eastAsia="仿宋_GB2312" w:hAnsiTheme="minorEastAsia" w:hint="eastAsia"/>
          <w:sz w:val="32"/>
          <w:szCs w:val="32"/>
        </w:rPr>
        <w:t>土地</w:t>
      </w:r>
      <w:r w:rsidRPr="00A973A0">
        <w:rPr>
          <w:rFonts w:ascii="仿宋_GB2312" w:eastAsia="仿宋_GB2312" w:hAnsiTheme="minorEastAsia" w:hint="eastAsia"/>
          <w:sz w:val="32"/>
          <w:szCs w:val="32"/>
        </w:rPr>
        <w:t>供应</w:t>
      </w:r>
      <w:r w:rsidR="008C47A3" w:rsidRPr="00A973A0">
        <w:rPr>
          <w:rFonts w:ascii="仿宋_GB2312" w:eastAsia="仿宋_GB2312" w:hAnsiTheme="minorEastAsia" w:hint="eastAsia"/>
          <w:sz w:val="32"/>
          <w:szCs w:val="32"/>
        </w:rPr>
        <w:t>成为了</w:t>
      </w:r>
      <w:r w:rsidRPr="00A973A0">
        <w:rPr>
          <w:rFonts w:ascii="仿宋_GB2312" w:eastAsia="仿宋_GB2312" w:hAnsiTheme="minorEastAsia" w:hint="eastAsia"/>
          <w:sz w:val="32"/>
          <w:szCs w:val="32"/>
        </w:rPr>
        <w:t>住房价格的本源影响因素，土地供应总量的增加和减少会直接导致房价波动</w:t>
      </w:r>
      <w:r w:rsidR="008C47A3" w:rsidRPr="00A973A0">
        <w:rPr>
          <w:rFonts w:ascii="仿宋_GB2312" w:eastAsia="仿宋_GB2312" w:hAnsiTheme="minorEastAsia" w:hint="eastAsia"/>
          <w:sz w:val="32"/>
          <w:szCs w:val="32"/>
        </w:rPr>
        <w:t>，今后的房地产市场调控政策应</w:t>
      </w:r>
      <w:r w:rsidR="0023612A" w:rsidRPr="00A973A0">
        <w:rPr>
          <w:rFonts w:ascii="仿宋_GB2312" w:eastAsia="仿宋_GB2312" w:hAnsiTheme="minorEastAsia" w:hint="eastAsia"/>
          <w:sz w:val="32"/>
          <w:szCs w:val="32"/>
        </w:rPr>
        <w:t>在抑制不合理需求的基础上，</w:t>
      </w:r>
      <w:r w:rsidR="008C47A3" w:rsidRPr="00A973A0">
        <w:rPr>
          <w:rFonts w:ascii="仿宋_GB2312" w:eastAsia="仿宋_GB2312" w:hAnsiTheme="minorEastAsia" w:hint="eastAsia"/>
          <w:sz w:val="32"/>
          <w:szCs w:val="32"/>
        </w:rPr>
        <w:t>更多的在供给侧发力，提高有效的土地供应，2017年7月，上海市政府公布住房发展“十三五”规划，提出未来5年供应170万套住房（供应住宅用地5500公顷）的目标，相比”十二五”增加60%，切实解决住房供应不足的问题。</w:t>
      </w:r>
    </w:p>
    <w:p w:rsidR="00AE6DFD" w:rsidRPr="00A973A0" w:rsidRDefault="00AE4973" w:rsidP="00A973A0">
      <w:pPr>
        <w:widowControl/>
        <w:spacing w:line="360" w:lineRule="auto"/>
        <w:ind w:firstLineChars="200" w:firstLine="643"/>
        <w:rPr>
          <w:rFonts w:ascii="仿宋_GB2312" w:eastAsia="仿宋_GB2312" w:hAnsiTheme="minorEastAsia"/>
          <w:b/>
          <w:sz w:val="32"/>
          <w:szCs w:val="32"/>
        </w:rPr>
      </w:pPr>
      <w:r w:rsidRPr="00A973A0">
        <w:rPr>
          <w:rFonts w:ascii="仿宋_GB2312" w:eastAsia="仿宋_GB2312" w:hAnsiTheme="minorEastAsia" w:hint="eastAsia"/>
          <w:b/>
          <w:sz w:val="32"/>
          <w:szCs w:val="32"/>
        </w:rPr>
        <w:t>三</w:t>
      </w:r>
      <w:r w:rsidR="003D4B43" w:rsidRPr="00A973A0">
        <w:rPr>
          <w:rFonts w:ascii="仿宋_GB2312" w:eastAsia="仿宋_GB2312" w:hAnsiTheme="minorEastAsia" w:hint="eastAsia"/>
          <w:b/>
          <w:sz w:val="32"/>
          <w:szCs w:val="32"/>
        </w:rPr>
        <w:t>、</w:t>
      </w:r>
      <w:r w:rsidR="00972D6F" w:rsidRPr="00A973A0">
        <w:rPr>
          <w:rFonts w:ascii="仿宋_GB2312" w:eastAsia="仿宋_GB2312" w:hAnsiTheme="minorEastAsia" w:hint="eastAsia"/>
          <w:b/>
          <w:sz w:val="32"/>
          <w:szCs w:val="32"/>
        </w:rPr>
        <w:t>土地</w:t>
      </w:r>
      <w:r w:rsidR="003C1137" w:rsidRPr="00A973A0">
        <w:rPr>
          <w:rFonts w:ascii="仿宋_GB2312" w:eastAsia="仿宋_GB2312" w:hAnsiTheme="minorEastAsia" w:hint="eastAsia"/>
          <w:b/>
          <w:sz w:val="32"/>
          <w:szCs w:val="32"/>
        </w:rPr>
        <w:t>供应结构对房地产市场的影响</w:t>
      </w:r>
    </w:p>
    <w:p w:rsidR="000F2CC9" w:rsidRPr="00A973A0" w:rsidRDefault="00E35364" w:rsidP="00B42832">
      <w:pPr>
        <w:widowControl/>
        <w:spacing w:line="360" w:lineRule="auto"/>
        <w:ind w:firstLineChars="200" w:firstLine="640"/>
        <w:rPr>
          <w:rFonts w:ascii="仿宋_GB2312" w:eastAsia="仿宋_GB2312" w:hAnsiTheme="minorEastAsia"/>
          <w:b/>
          <w:sz w:val="32"/>
          <w:szCs w:val="32"/>
        </w:rPr>
      </w:pPr>
      <w:r w:rsidRPr="00A973A0">
        <w:rPr>
          <w:rFonts w:ascii="仿宋_GB2312" w:eastAsia="仿宋_GB2312" w:hAnsiTheme="minorEastAsia" w:hint="eastAsia"/>
          <w:sz w:val="32"/>
          <w:szCs w:val="32"/>
        </w:rPr>
        <w:t>长期以来，</w:t>
      </w:r>
      <w:r w:rsidR="00FC06D7" w:rsidRPr="00A973A0">
        <w:rPr>
          <w:rFonts w:ascii="仿宋_GB2312" w:eastAsia="仿宋_GB2312" w:hAnsiTheme="minorEastAsia" w:hint="eastAsia"/>
          <w:sz w:val="32"/>
          <w:szCs w:val="32"/>
        </w:rPr>
        <w:t>我国城市土地利用受到建国初期变“ 消费城市” 为“ 生产城市” , “ 先生产, 后生活” 等城市建设观念的影响, 大多存在着生产用地多、生活和服务用地少的问题</w:t>
      </w:r>
      <w:r w:rsidR="00AC2FE8" w:rsidRPr="00A973A0">
        <w:rPr>
          <w:rFonts w:ascii="仿宋_GB2312" w:eastAsia="仿宋_GB2312" w:hAnsiTheme="minorEastAsia" w:hint="eastAsia"/>
          <w:sz w:val="32"/>
          <w:szCs w:val="32"/>
          <w:vertAlign w:val="superscript"/>
        </w:rPr>
        <w:t>[</w:t>
      </w:r>
      <w:r w:rsidR="00394614" w:rsidRPr="00A973A0">
        <w:rPr>
          <w:rFonts w:ascii="仿宋_GB2312" w:eastAsia="仿宋_GB2312" w:hAnsiTheme="minorEastAsia" w:hint="eastAsia"/>
          <w:sz w:val="32"/>
          <w:szCs w:val="32"/>
          <w:vertAlign w:val="superscript"/>
        </w:rPr>
        <w:t>4</w:t>
      </w:r>
      <w:r w:rsidR="00AC2FE8" w:rsidRPr="00A973A0">
        <w:rPr>
          <w:rFonts w:ascii="仿宋_GB2312" w:eastAsia="仿宋_GB2312" w:hAnsiTheme="minorEastAsia" w:hint="eastAsia"/>
          <w:sz w:val="32"/>
          <w:szCs w:val="32"/>
          <w:vertAlign w:val="superscript"/>
        </w:rPr>
        <w:t>]</w:t>
      </w:r>
      <w:r w:rsidR="00FC06D7" w:rsidRPr="00A973A0">
        <w:rPr>
          <w:rFonts w:ascii="仿宋_GB2312" w:eastAsia="仿宋_GB2312" w:hAnsiTheme="minorEastAsia" w:hint="eastAsia"/>
          <w:sz w:val="32"/>
          <w:szCs w:val="32"/>
        </w:rPr>
        <w:t>。</w:t>
      </w:r>
      <w:r w:rsidR="00B71D08" w:rsidRPr="00A973A0">
        <w:rPr>
          <w:rFonts w:ascii="仿宋_GB2312" w:eastAsia="仿宋_GB2312" w:hAnsiTheme="minorEastAsia" w:hint="eastAsia"/>
          <w:sz w:val="32"/>
          <w:szCs w:val="32"/>
        </w:rPr>
        <w:t>工业用地比重偏大，</w:t>
      </w:r>
      <w:r w:rsidRPr="00A973A0">
        <w:rPr>
          <w:rFonts w:ascii="仿宋_GB2312" w:eastAsia="仿宋_GB2312" w:hAnsiTheme="minorEastAsia" w:hint="eastAsia"/>
          <w:sz w:val="32"/>
          <w:szCs w:val="32"/>
        </w:rPr>
        <w:t>城镇住宅用地供应比例偏小，第二次全国土地调查（简称二调）结果显示，全国仅0.3%的土地用作</w:t>
      </w:r>
      <w:r w:rsidR="00FC06D7" w:rsidRPr="00A973A0">
        <w:rPr>
          <w:rFonts w:ascii="仿宋_GB2312" w:eastAsia="仿宋_GB2312" w:hAnsiTheme="minorEastAsia" w:hint="eastAsia"/>
          <w:sz w:val="32"/>
          <w:szCs w:val="32"/>
        </w:rPr>
        <w:t>城镇住宅</w:t>
      </w:r>
      <w:r w:rsidRPr="00A973A0">
        <w:rPr>
          <w:rFonts w:ascii="仿宋_GB2312" w:eastAsia="仿宋_GB2312" w:hAnsiTheme="minorEastAsia" w:hint="eastAsia"/>
          <w:sz w:val="32"/>
          <w:szCs w:val="32"/>
        </w:rPr>
        <w:t>建设用地，</w:t>
      </w:r>
      <w:r w:rsidR="00C56BF6" w:rsidRPr="00A973A0">
        <w:rPr>
          <w:rFonts w:ascii="仿宋_GB2312" w:eastAsia="仿宋_GB2312" w:hAnsiTheme="minorEastAsia" w:hint="eastAsia"/>
          <w:sz w:val="32"/>
          <w:szCs w:val="32"/>
        </w:rPr>
        <w:t>比我国土地更为紧缺的日本为</w:t>
      </w:r>
      <w:r w:rsidRPr="00A973A0">
        <w:rPr>
          <w:rFonts w:ascii="仿宋_GB2312" w:eastAsia="仿宋_GB2312" w:hAnsiTheme="minorEastAsia" w:hint="eastAsia"/>
          <w:sz w:val="32"/>
          <w:szCs w:val="32"/>
        </w:rPr>
        <w:t>3%</w:t>
      </w:r>
      <w:r w:rsidR="004318C2" w:rsidRPr="00A973A0">
        <w:rPr>
          <w:rFonts w:ascii="仿宋_GB2312" w:eastAsia="仿宋_GB2312" w:hAnsiTheme="minorEastAsia" w:hint="eastAsia"/>
          <w:sz w:val="32"/>
          <w:szCs w:val="32"/>
        </w:rPr>
        <w:t>。</w:t>
      </w:r>
      <w:r w:rsidRPr="00A973A0">
        <w:rPr>
          <w:rFonts w:ascii="仿宋_GB2312" w:eastAsia="仿宋_GB2312" w:hAnsiTheme="minorEastAsia" w:hint="eastAsia"/>
          <w:sz w:val="32"/>
          <w:szCs w:val="32"/>
        </w:rPr>
        <w:t>根据上海市最新二调数据，城镇住宅用地面积5</w:t>
      </w:r>
      <w:r w:rsidR="00C56BF6" w:rsidRPr="00A973A0">
        <w:rPr>
          <w:rFonts w:ascii="仿宋_GB2312" w:eastAsia="仿宋_GB2312" w:hAnsiTheme="minorEastAsia" w:hint="eastAsia"/>
          <w:sz w:val="32"/>
          <w:szCs w:val="32"/>
        </w:rPr>
        <w:t>46平方公里，仅占建设用地总</w:t>
      </w:r>
      <w:r w:rsidRPr="00A973A0">
        <w:rPr>
          <w:rFonts w:ascii="仿宋_GB2312" w:eastAsia="仿宋_GB2312" w:hAnsiTheme="minorEastAsia" w:hint="eastAsia"/>
          <w:sz w:val="32"/>
          <w:szCs w:val="32"/>
        </w:rPr>
        <w:t>面积</w:t>
      </w:r>
      <w:r w:rsidR="00C56BF6" w:rsidRPr="00A973A0">
        <w:rPr>
          <w:rFonts w:ascii="仿宋_GB2312" w:eastAsia="仿宋_GB2312" w:hAnsiTheme="minorEastAsia" w:hint="eastAsia"/>
          <w:sz w:val="32"/>
          <w:szCs w:val="32"/>
        </w:rPr>
        <w:t>的18</w:t>
      </w:r>
      <w:r w:rsidRPr="00A973A0">
        <w:rPr>
          <w:rFonts w:ascii="仿宋_GB2312" w:eastAsia="仿宋_GB2312" w:hAnsiTheme="minorEastAsia" w:hint="eastAsia"/>
          <w:sz w:val="32"/>
          <w:szCs w:val="32"/>
        </w:rPr>
        <w:t>%</w:t>
      </w:r>
      <w:r w:rsidR="00F94EEF" w:rsidRPr="00A973A0">
        <w:rPr>
          <w:rFonts w:ascii="仿宋_GB2312" w:eastAsia="仿宋_GB2312" w:hAnsiTheme="minorEastAsia" w:hint="eastAsia"/>
          <w:sz w:val="32"/>
          <w:szCs w:val="32"/>
        </w:rPr>
        <w:t>（图</w:t>
      </w:r>
      <w:r w:rsidR="00394614" w:rsidRPr="00A973A0">
        <w:rPr>
          <w:rFonts w:ascii="仿宋_GB2312" w:eastAsia="仿宋_GB2312" w:hAnsiTheme="minorEastAsia" w:hint="eastAsia"/>
          <w:sz w:val="32"/>
          <w:szCs w:val="32"/>
        </w:rPr>
        <w:t>3</w:t>
      </w:r>
      <w:r w:rsidR="00F94EEF" w:rsidRPr="00A973A0">
        <w:rPr>
          <w:rFonts w:ascii="仿宋_GB2312" w:eastAsia="仿宋_GB2312" w:hAnsiTheme="minorEastAsia" w:hint="eastAsia"/>
          <w:sz w:val="32"/>
          <w:szCs w:val="32"/>
        </w:rPr>
        <w:t>.1）</w:t>
      </w:r>
      <w:r w:rsidR="00C56BF6" w:rsidRPr="00A973A0">
        <w:rPr>
          <w:rFonts w:ascii="仿宋_GB2312" w:eastAsia="仿宋_GB2312" w:hAnsiTheme="minorEastAsia" w:hint="eastAsia"/>
          <w:sz w:val="32"/>
          <w:szCs w:val="32"/>
        </w:rPr>
        <w:t>，而东京、纽约、新加坡</w:t>
      </w:r>
      <w:r w:rsidRPr="00A973A0">
        <w:rPr>
          <w:rFonts w:ascii="仿宋_GB2312" w:eastAsia="仿宋_GB2312" w:hAnsiTheme="minorEastAsia" w:hint="eastAsia"/>
          <w:sz w:val="32"/>
          <w:szCs w:val="32"/>
        </w:rPr>
        <w:t>等国际大都市均超过</w:t>
      </w:r>
      <w:r w:rsidR="00C56BF6" w:rsidRPr="00A973A0">
        <w:rPr>
          <w:rFonts w:ascii="仿宋_GB2312" w:eastAsia="仿宋_GB2312" w:hAnsiTheme="minorEastAsia" w:hint="eastAsia"/>
          <w:sz w:val="32"/>
          <w:szCs w:val="32"/>
        </w:rPr>
        <w:t>3</w:t>
      </w:r>
      <w:r w:rsidRPr="00A973A0">
        <w:rPr>
          <w:rFonts w:ascii="仿宋_GB2312" w:eastAsia="仿宋_GB2312" w:hAnsiTheme="minorEastAsia" w:hint="eastAsia"/>
          <w:sz w:val="32"/>
          <w:szCs w:val="32"/>
        </w:rPr>
        <w:t>0%</w:t>
      </w:r>
      <w:r w:rsidR="00C56BF6" w:rsidRPr="00A973A0">
        <w:rPr>
          <w:rFonts w:ascii="仿宋_GB2312" w:eastAsia="仿宋_GB2312" w:hAnsiTheme="minorEastAsia" w:hint="eastAsia"/>
          <w:sz w:val="32"/>
          <w:szCs w:val="32"/>
        </w:rPr>
        <w:t>；</w:t>
      </w:r>
      <w:r w:rsidR="00F94EEF" w:rsidRPr="00A973A0">
        <w:rPr>
          <w:rFonts w:ascii="仿宋_GB2312" w:eastAsia="仿宋_GB2312" w:hAnsiTheme="minorEastAsia" w:hint="eastAsia"/>
          <w:sz w:val="32"/>
          <w:szCs w:val="32"/>
        </w:rPr>
        <w:t>上海</w:t>
      </w:r>
      <w:r w:rsidR="00C56BF6" w:rsidRPr="00A973A0">
        <w:rPr>
          <w:rFonts w:ascii="仿宋_GB2312" w:eastAsia="仿宋_GB2312" w:hAnsiTheme="minorEastAsia" w:hint="eastAsia"/>
          <w:sz w:val="32"/>
          <w:szCs w:val="32"/>
        </w:rPr>
        <w:t>工业用地面积844平方公里，占建设用地总面积的28%，而纽约、东京、新加坡等国际大都市这一比例均低于10%</w:t>
      </w:r>
      <w:r w:rsidR="00C632C7" w:rsidRPr="00A973A0">
        <w:rPr>
          <w:rFonts w:ascii="仿宋_GB2312" w:eastAsia="仿宋_GB2312" w:hAnsiTheme="minorEastAsia" w:hint="eastAsia"/>
          <w:sz w:val="32"/>
          <w:szCs w:val="32"/>
          <w:vertAlign w:val="superscript"/>
        </w:rPr>
        <w:t>[</w:t>
      </w:r>
      <w:r w:rsidR="00394614" w:rsidRPr="00A973A0">
        <w:rPr>
          <w:rFonts w:ascii="仿宋_GB2312" w:eastAsia="仿宋_GB2312" w:hAnsiTheme="minorEastAsia" w:hint="eastAsia"/>
          <w:sz w:val="32"/>
          <w:szCs w:val="32"/>
          <w:vertAlign w:val="superscript"/>
        </w:rPr>
        <w:t>5</w:t>
      </w:r>
      <w:r w:rsidR="00C632C7" w:rsidRPr="00A973A0">
        <w:rPr>
          <w:rFonts w:ascii="仿宋_GB2312" w:eastAsia="仿宋_GB2312" w:hAnsiTheme="minorEastAsia" w:hint="eastAsia"/>
          <w:sz w:val="32"/>
          <w:szCs w:val="32"/>
          <w:vertAlign w:val="superscript"/>
        </w:rPr>
        <w:t>]</w:t>
      </w:r>
      <w:r w:rsidRPr="00A973A0">
        <w:rPr>
          <w:rFonts w:ascii="仿宋_GB2312" w:eastAsia="仿宋_GB2312" w:hAnsiTheme="minorEastAsia" w:hint="eastAsia"/>
          <w:sz w:val="32"/>
          <w:szCs w:val="32"/>
        </w:rPr>
        <w:t>。</w:t>
      </w:r>
      <w:r w:rsidR="00F94EEF" w:rsidRPr="00A973A0">
        <w:rPr>
          <w:rFonts w:ascii="仿宋_GB2312" w:eastAsia="仿宋_GB2312" w:hAnsiTheme="minorEastAsia" w:hint="eastAsia"/>
          <w:sz w:val="32"/>
          <w:szCs w:val="32"/>
        </w:rPr>
        <w:t>此外，上海市还有超过500平方公里的农村宅基地和闲置宅基地，农民人均宅基地接近200平米。</w:t>
      </w:r>
      <w:r w:rsidR="00F94EEF" w:rsidRPr="00A973A0">
        <w:rPr>
          <w:rFonts w:ascii="仿宋_GB2312" w:eastAsia="仿宋_GB2312" w:hAnsiTheme="minorEastAsia" w:hint="eastAsia"/>
          <w:b/>
          <w:sz w:val="32"/>
          <w:szCs w:val="32"/>
        </w:rPr>
        <w:t>因此，严格</w:t>
      </w:r>
      <w:r w:rsidR="00320C03" w:rsidRPr="00A973A0">
        <w:rPr>
          <w:rFonts w:ascii="仿宋_GB2312" w:eastAsia="仿宋_GB2312" w:hAnsiTheme="minorEastAsia" w:hint="eastAsia"/>
          <w:b/>
          <w:sz w:val="32"/>
          <w:szCs w:val="32"/>
        </w:rPr>
        <w:t>意义上来说，上海</w:t>
      </w:r>
      <w:r w:rsidR="00F94EEF" w:rsidRPr="00A973A0">
        <w:rPr>
          <w:rFonts w:ascii="仿宋_GB2312" w:eastAsia="仿宋_GB2312" w:hAnsiTheme="minorEastAsia" w:hint="eastAsia"/>
          <w:b/>
          <w:sz w:val="32"/>
          <w:szCs w:val="32"/>
        </w:rPr>
        <w:t>属于结构</w:t>
      </w:r>
      <w:r w:rsidR="00F94EEF" w:rsidRPr="00A973A0">
        <w:rPr>
          <w:rFonts w:ascii="仿宋_GB2312" w:eastAsia="仿宋_GB2312" w:hAnsiTheme="minorEastAsia" w:hint="eastAsia"/>
          <w:b/>
          <w:sz w:val="32"/>
          <w:szCs w:val="32"/>
        </w:rPr>
        <w:lastRenderedPageBreak/>
        <w:t>性</w:t>
      </w:r>
      <w:r w:rsidR="00320C03" w:rsidRPr="00A973A0">
        <w:rPr>
          <w:rFonts w:ascii="仿宋_GB2312" w:eastAsia="仿宋_GB2312" w:hAnsiTheme="minorEastAsia" w:hint="eastAsia"/>
          <w:b/>
          <w:sz w:val="32"/>
          <w:szCs w:val="32"/>
        </w:rPr>
        <w:t>用地</w:t>
      </w:r>
      <w:r w:rsidR="00F94EEF" w:rsidRPr="00A973A0">
        <w:rPr>
          <w:rFonts w:ascii="仿宋_GB2312" w:eastAsia="仿宋_GB2312" w:hAnsiTheme="minorEastAsia" w:hint="eastAsia"/>
          <w:b/>
          <w:sz w:val="32"/>
          <w:szCs w:val="32"/>
        </w:rPr>
        <w:t>紧缺，工业、商服、农村宅基地等用地规模偏大，挤压了城镇住宅用地空间。</w:t>
      </w:r>
    </w:p>
    <w:p w:rsidR="00E35364" w:rsidRPr="00B42832" w:rsidRDefault="000359A2" w:rsidP="00B42832">
      <w:pPr>
        <w:widowControl/>
        <w:spacing w:line="360" w:lineRule="auto"/>
        <w:ind w:firstLineChars="200" w:firstLine="480"/>
        <w:jc w:val="center"/>
        <w:rPr>
          <w:rFonts w:asciiTheme="minorEastAsia" w:hAnsiTheme="minorEastAsia"/>
          <w:sz w:val="24"/>
          <w:szCs w:val="24"/>
        </w:rPr>
      </w:pPr>
      <w:r w:rsidRPr="00B42832">
        <w:rPr>
          <w:rFonts w:asciiTheme="minorEastAsia" w:hAnsiTheme="minorEastAsia"/>
          <w:noProof/>
          <w:sz w:val="24"/>
          <w:szCs w:val="24"/>
        </w:rPr>
        <w:drawing>
          <wp:inline distT="0" distB="0" distL="0" distR="0">
            <wp:extent cx="3829050" cy="2352130"/>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10582" t="6529" r="2282" b="4811"/>
                    <a:stretch>
                      <a:fillRect/>
                    </a:stretch>
                  </pic:blipFill>
                  <pic:spPr bwMode="auto">
                    <a:xfrm>
                      <a:off x="0" y="0"/>
                      <a:ext cx="3829050" cy="2352130"/>
                    </a:xfrm>
                    <a:prstGeom prst="rect">
                      <a:avLst/>
                    </a:prstGeom>
                    <a:noFill/>
                  </pic:spPr>
                </pic:pic>
              </a:graphicData>
            </a:graphic>
          </wp:inline>
        </w:drawing>
      </w:r>
    </w:p>
    <w:p w:rsidR="00E35364" w:rsidRPr="00A973A0" w:rsidRDefault="00E35364" w:rsidP="00B42832">
      <w:pPr>
        <w:widowControl/>
        <w:spacing w:line="360" w:lineRule="auto"/>
        <w:ind w:firstLineChars="200" w:firstLine="422"/>
        <w:jc w:val="center"/>
        <w:rPr>
          <w:rFonts w:asciiTheme="minorEastAsia" w:hAnsiTheme="minorEastAsia"/>
          <w:b/>
          <w:szCs w:val="21"/>
        </w:rPr>
      </w:pPr>
      <w:r w:rsidRPr="00A973A0">
        <w:rPr>
          <w:rFonts w:asciiTheme="minorEastAsia" w:hAnsiTheme="minorEastAsia" w:hint="eastAsia"/>
          <w:b/>
          <w:szCs w:val="21"/>
        </w:rPr>
        <w:t>图</w:t>
      </w:r>
      <w:r w:rsidR="0023345B" w:rsidRPr="00A973A0">
        <w:rPr>
          <w:rFonts w:asciiTheme="minorEastAsia" w:hAnsiTheme="minorEastAsia" w:hint="eastAsia"/>
          <w:b/>
          <w:szCs w:val="21"/>
        </w:rPr>
        <w:t>3</w:t>
      </w:r>
      <w:r w:rsidRPr="00A973A0">
        <w:rPr>
          <w:rFonts w:asciiTheme="minorEastAsia" w:hAnsiTheme="minorEastAsia" w:hint="eastAsia"/>
          <w:b/>
          <w:szCs w:val="21"/>
        </w:rPr>
        <w:t>.1</w:t>
      </w:r>
      <w:r w:rsidR="00B71D08" w:rsidRPr="00A973A0">
        <w:rPr>
          <w:rFonts w:asciiTheme="minorEastAsia" w:hAnsiTheme="minorEastAsia" w:hint="eastAsia"/>
          <w:b/>
          <w:szCs w:val="21"/>
        </w:rPr>
        <w:t xml:space="preserve">  2015年上海</w:t>
      </w:r>
      <w:r w:rsidR="000359A2" w:rsidRPr="00A973A0">
        <w:rPr>
          <w:rFonts w:asciiTheme="minorEastAsia" w:hAnsiTheme="minorEastAsia" w:hint="eastAsia"/>
          <w:b/>
          <w:szCs w:val="21"/>
        </w:rPr>
        <w:t>土地利用</w:t>
      </w:r>
      <w:r w:rsidR="00B71D08" w:rsidRPr="00A973A0">
        <w:rPr>
          <w:rFonts w:asciiTheme="minorEastAsia" w:hAnsiTheme="minorEastAsia" w:hint="eastAsia"/>
          <w:b/>
          <w:szCs w:val="21"/>
        </w:rPr>
        <w:t>结构</w:t>
      </w:r>
      <w:r w:rsidR="009A196E" w:rsidRPr="00A973A0">
        <w:rPr>
          <w:rFonts w:asciiTheme="minorEastAsia" w:hAnsiTheme="minorEastAsia" w:hint="eastAsia"/>
          <w:b/>
          <w:szCs w:val="21"/>
        </w:rPr>
        <w:t>图</w:t>
      </w:r>
    </w:p>
    <w:p w:rsidR="00C632C7" w:rsidRPr="00B42832" w:rsidRDefault="009003BA" w:rsidP="00B42832">
      <w:pPr>
        <w:widowControl/>
        <w:spacing w:line="360" w:lineRule="auto"/>
        <w:ind w:firstLineChars="200" w:firstLine="480"/>
        <w:jc w:val="center"/>
        <w:rPr>
          <w:rFonts w:asciiTheme="minorEastAsia" w:hAnsiTheme="minorEastAsia"/>
          <w:sz w:val="24"/>
          <w:szCs w:val="24"/>
        </w:rPr>
      </w:pPr>
      <w:r w:rsidRPr="00B42832">
        <w:rPr>
          <w:rFonts w:asciiTheme="minorEastAsia" w:hAnsiTheme="minorEastAsia"/>
          <w:noProof/>
          <w:sz w:val="24"/>
          <w:szCs w:val="24"/>
        </w:rPr>
        <w:drawing>
          <wp:inline distT="0" distB="0" distL="0" distR="0">
            <wp:extent cx="4139565" cy="2767965"/>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139565" cy="2767965"/>
                    </a:xfrm>
                    <a:prstGeom prst="rect">
                      <a:avLst/>
                    </a:prstGeom>
                    <a:noFill/>
                  </pic:spPr>
                </pic:pic>
              </a:graphicData>
            </a:graphic>
          </wp:inline>
        </w:drawing>
      </w:r>
    </w:p>
    <w:p w:rsidR="00C632C7" w:rsidRPr="00A973A0" w:rsidRDefault="00C632C7" w:rsidP="00B42832">
      <w:pPr>
        <w:widowControl/>
        <w:spacing w:line="360" w:lineRule="auto"/>
        <w:ind w:firstLineChars="200" w:firstLine="422"/>
        <w:jc w:val="center"/>
        <w:rPr>
          <w:rFonts w:asciiTheme="minorEastAsia" w:hAnsiTheme="minorEastAsia"/>
          <w:b/>
          <w:szCs w:val="21"/>
        </w:rPr>
      </w:pPr>
      <w:r w:rsidRPr="00A973A0">
        <w:rPr>
          <w:rFonts w:asciiTheme="minorEastAsia" w:hAnsiTheme="minorEastAsia" w:hint="eastAsia"/>
          <w:b/>
          <w:szCs w:val="21"/>
        </w:rPr>
        <w:t>图</w:t>
      </w:r>
      <w:r w:rsidR="0023345B" w:rsidRPr="00A973A0">
        <w:rPr>
          <w:rFonts w:asciiTheme="minorEastAsia" w:hAnsiTheme="minorEastAsia" w:hint="eastAsia"/>
          <w:b/>
          <w:szCs w:val="21"/>
        </w:rPr>
        <w:t>3</w:t>
      </w:r>
      <w:r w:rsidRPr="00A973A0">
        <w:rPr>
          <w:rFonts w:asciiTheme="minorEastAsia" w:hAnsiTheme="minorEastAsia" w:hint="eastAsia"/>
          <w:b/>
          <w:szCs w:val="21"/>
        </w:rPr>
        <w:t>.2部分国际大都市工业用地占建设用地比重</w:t>
      </w:r>
      <w:r w:rsidR="009003BA" w:rsidRPr="00A973A0">
        <w:rPr>
          <w:rFonts w:asciiTheme="minorEastAsia" w:hAnsiTheme="minorEastAsia" w:hint="eastAsia"/>
          <w:b/>
          <w:szCs w:val="21"/>
        </w:rPr>
        <w:t>（%）</w:t>
      </w:r>
      <w:r w:rsidR="0023345B" w:rsidRPr="00A973A0">
        <w:rPr>
          <w:rFonts w:asciiTheme="minorEastAsia" w:hAnsiTheme="minorEastAsia" w:hint="eastAsia"/>
          <w:b/>
          <w:szCs w:val="21"/>
        </w:rPr>
        <w:t>，（石忆邵）</w:t>
      </w:r>
    </w:p>
    <w:p w:rsidR="002307A2" w:rsidRPr="00A973A0" w:rsidRDefault="00B71D08" w:rsidP="00B42832">
      <w:pPr>
        <w:widowControl/>
        <w:spacing w:line="360" w:lineRule="auto"/>
        <w:ind w:firstLineChars="200" w:firstLine="640"/>
        <w:rPr>
          <w:rFonts w:ascii="仿宋_GB2312" w:eastAsia="仿宋_GB2312" w:hAnsiTheme="minorEastAsia"/>
          <w:b/>
          <w:sz w:val="32"/>
          <w:szCs w:val="32"/>
        </w:rPr>
      </w:pPr>
      <w:r w:rsidRPr="00A973A0">
        <w:rPr>
          <w:rFonts w:ascii="仿宋_GB2312" w:eastAsia="仿宋_GB2312" w:hAnsiTheme="minorEastAsia" w:hint="eastAsia"/>
          <w:sz w:val="32"/>
          <w:szCs w:val="32"/>
        </w:rPr>
        <w:t>近年来</w:t>
      </w:r>
      <w:r w:rsidR="002307A2" w:rsidRPr="00A973A0">
        <w:rPr>
          <w:rFonts w:ascii="仿宋_GB2312" w:eastAsia="仿宋_GB2312" w:hAnsiTheme="minorEastAsia" w:hint="eastAsia"/>
          <w:sz w:val="32"/>
          <w:szCs w:val="32"/>
        </w:rPr>
        <w:t>，</w:t>
      </w:r>
      <w:r w:rsidRPr="00A973A0">
        <w:rPr>
          <w:rFonts w:ascii="仿宋_GB2312" w:eastAsia="仿宋_GB2312" w:hAnsiTheme="minorEastAsia" w:hint="eastAsia"/>
          <w:sz w:val="32"/>
          <w:szCs w:val="32"/>
        </w:rPr>
        <w:t>在</w:t>
      </w:r>
      <w:r w:rsidR="002F039B" w:rsidRPr="00A973A0">
        <w:rPr>
          <w:rFonts w:ascii="仿宋_GB2312" w:eastAsia="仿宋_GB2312" w:hAnsiTheme="minorEastAsia" w:hint="eastAsia"/>
          <w:sz w:val="32"/>
          <w:szCs w:val="32"/>
        </w:rPr>
        <w:t>用地</w:t>
      </w:r>
      <w:r w:rsidR="00DB6862" w:rsidRPr="00A973A0">
        <w:rPr>
          <w:rFonts w:ascii="仿宋_GB2312" w:eastAsia="仿宋_GB2312" w:hAnsiTheme="minorEastAsia" w:hint="eastAsia"/>
          <w:sz w:val="32"/>
          <w:szCs w:val="32"/>
        </w:rPr>
        <w:t>紧缺和房价</w:t>
      </w:r>
      <w:r w:rsidRPr="00A973A0">
        <w:rPr>
          <w:rFonts w:ascii="仿宋_GB2312" w:eastAsia="仿宋_GB2312" w:hAnsiTheme="minorEastAsia" w:hint="eastAsia"/>
          <w:sz w:val="32"/>
          <w:szCs w:val="32"/>
        </w:rPr>
        <w:t>上行的背景下，</w:t>
      </w:r>
      <w:r w:rsidR="002307A2" w:rsidRPr="00A973A0">
        <w:rPr>
          <w:rFonts w:ascii="仿宋_GB2312" w:eastAsia="仿宋_GB2312" w:hAnsiTheme="minorEastAsia" w:hint="eastAsia"/>
          <w:b/>
          <w:sz w:val="32"/>
          <w:szCs w:val="32"/>
        </w:rPr>
        <w:t>上海市</w:t>
      </w:r>
      <w:r w:rsidRPr="00A973A0">
        <w:rPr>
          <w:rFonts w:ascii="仿宋_GB2312" w:eastAsia="仿宋_GB2312" w:hAnsiTheme="minorEastAsia" w:hint="eastAsia"/>
          <w:b/>
          <w:sz w:val="32"/>
          <w:szCs w:val="32"/>
        </w:rPr>
        <w:t>土地供应结构性矛盾并未发生根本改变，</w:t>
      </w:r>
      <w:r w:rsidR="002F039B" w:rsidRPr="00A973A0">
        <w:rPr>
          <w:rFonts w:ascii="仿宋_GB2312" w:eastAsia="仿宋_GB2312" w:hAnsiTheme="minorEastAsia" w:hint="eastAsia"/>
          <w:b/>
          <w:sz w:val="32"/>
          <w:szCs w:val="32"/>
        </w:rPr>
        <w:t>一方面</w:t>
      </w:r>
      <w:r w:rsidR="002307A2" w:rsidRPr="00A973A0">
        <w:rPr>
          <w:rFonts w:ascii="仿宋_GB2312" w:eastAsia="仿宋_GB2312" w:hAnsiTheme="minorEastAsia" w:hint="eastAsia"/>
          <w:b/>
          <w:sz w:val="32"/>
          <w:szCs w:val="32"/>
        </w:rPr>
        <w:t>住宅用地</w:t>
      </w:r>
      <w:r w:rsidRPr="00A973A0">
        <w:rPr>
          <w:rFonts w:ascii="仿宋_GB2312" w:eastAsia="仿宋_GB2312" w:hAnsiTheme="minorEastAsia" w:hint="eastAsia"/>
          <w:b/>
          <w:sz w:val="32"/>
          <w:szCs w:val="32"/>
        </w:rPr>
        <w:t>长期</w:t>
      </w:r>
      <w:r w:rsidR="002307A2" w:rsidRPr="00A973A0">
        <w:rPr>
          <w:rFonts w:ascii="仿宋_GB2312" w:eastAsia="仿宋_GB2312" w:hAnsiTheme="minorEastAsia" w:hint="eastAsia"/>
          <w:b/>
          <w:sz w:val="32"/>
          <w:szCs w:val="32"/>
        </w:rPr>
        <w:t>供应不足，</w:t>
      </w:r>
      <w:r w:rsidRPr="00A973A0">
        <w:rPr>
          <w:rFonts w:ascii="仿宋_GB2312" w:eastAsia="仿宋_GB2312" w:hAnsiTheme="minorEastAsia" w:hint="eastAsia"/>
          <w:b/>
          <w:sz w:val="32"/>
          <w:szCs w:val="32"/>
        </w:rPr>
        <w:t>供应比例始终处于10%—30%的较低水平，且呈下行趋势</w:t>
      </w:r>
      <w:r w:rsidR="004318C2" w:rsidRPr="00A973A0">
        <w:rPr>
          <w:rFonts w:ascii="仿宋_GB2312" w:eastAsia="仿宋_GB2312" w:hAnsiTheme="minorEastAsia" w:hint="eastAsia"/>
          <w:b/>
          <w:sz w:val="32"/>
          <w:szCs w:val="32"/>
        </w:rPr>
        <w:t>（图</w:t>
      </w:r>
      <w:r w:rsidR="00B71E0E" w:rsidRPr="00A973A0">
        <w:rPr>
          <w:rFonts w:ascii="仿宋_GB2312" w:eastAsia="仿宋_GB2312" w:hAnsiTheme="minorEastAsia" w:hint="eastAsia"/>
          <w:b/>
          <w:sz w:val="32"/>
          <w:szCs w:val="32"/>
        </w:rPr>
        <w:t>3</w:t>
      </w:r>
      <w:r w:rsidR="004318C2" w:rsidRPr="00A973A0">
        <w:rPr>
          <w:rFonts w:ascii="仿宋_GB2312" w:eastAsia="仿宋_GB2312" w:hAnsiTheme="minorEastAsia" w:hint="eastAsia"/>
          <w:b/>
          <w:sz w:val="32"/>
          <w:szCs w:val="32"/>
        </w:rPr>
        <w:t>.2）</w:t>
      </w:r>
      <w:r w:rsidRPr="00A973A0">
        <w:rPr>
          <w:rFonts w:ascii="仿宋_GB2312" w:eastAsia="仿宋_GB2312" w:hAnsiTheme="minorEastAsia" w:hint="eastAsia"/>
          <w:b/>
          <w:sz w:val="32"/>
          <w:szCs w:val="32"/>
        </w:rPr>
        <w:t>。</w:t>
      </w:r>
      <w:r w:rsidR="002307A2" w:rsidRPr="00A973A0">
        <w:rPr>
          <w:rFonts w:ascii="仿宋_GB2312" w:eastAsia="仿宋_GB2312" w:hAnsiTheme="minorEastAsia" w:hint="eastAsia"/>
          <w:b/>
          <w:sz w:val="32"/>
          <w:szCs w:val="32"/>
        </w:rPr>
        <w:t>而</w:t>
      </w:r>
      <w:r w:rsidRPr="00A973A0">
        <w:rPr>
          <w:rFonts w:ascii="仿宋_GB2312" w:eastAsia="仿宋_GB2312" w:hAnsiTheme="minorEastAsia" w:hint="eastAsia"/>
          <w:b/>
          <w:sz w:val="32"/>
          <w:szCs w:val="32"/>
        </w:rPr>
        <w:t>另一方面，</w:t>
      </w:r>
      <w:r w:rsidR="002307A2" w:rsidRPr="00A973A0">
        <w:rPr>
          <w:rFonts w:ascii="仿宋_GB2312" w:eastAsia="仿宋_GB2312" w:hAnsiTheme="minorEastAsia" w:hint="eastAsia"/>
          <w:b/>
          <w:sz w:val="32"/>
          <w:szCs w:val="32"/>
        </w:rPr>
        <w:t>商办用地、工业用地供应量</w:t>
      </w:r>
      <w:r w:rsidR="009A196E" w:rsidRPr="00A973A0">
        <w:rPr>
          <w:rFonts w:ascii="仿宋_GB2312" w:eastAsia="仿宋_GB2312" w:hAnsiTheme="minorEastAsia" w:hint="eastAsia"/>
          <w:b/>
          <w:sz w:val="32"/>
          <w:szCs w:val="32"/>
        </w:rPr>
        <w:t>持续保持在高位</w:t>
      </w:r>
      <w:r w:rsidR="002307A2" w:rsidRPr="00A973A0">
        <w:rPr>
          <w:rFonts w:ascii="仿宋_GB2312" w:eastAsia="仿宋_GB2312" w:hAnsiTheme="minorEastAsia" w:hint="eastAsia"/>
          <w:b/>
          <w:sz w:val="32"/>
          <w:szCs w:val="32"/>
        </w:rPr>
        <w:t>，</w:t>
      </w:r>
      <w:r w:rsidR="009A196E" w:rsidRPr="00A973A0">
        <w:rPr>
          <w:rFonts w:ascii="仿宋_GB2312" w:eastAsia="仿宋_GB2312" w:hAnsiTheme="minorEastAsia" w:hint="eastAsia"/>
          <w:b/>
          <w:sz w:val="32"/>
          <w:szCs w:val="32"/>
        </w:rPr>
        <w:t>进一步挤压了住宅用地的空间，</w:t>
      </w:r>
      <w:r w:rsidR="002F039B" w:rsidRPr="00A973A0">
        <w:rPr>
          <w:rFonts w:ascii="仿宋_GB2312" w:eastAsia="仿宋_GB2312" w:hAnsiTheme="minorEastAsia" w:hint="eastAsia"/>
          <w:sz w:val="32"/>
          <w:szCs w:val="32"/>
        </w:rPr>
        <w:t>2009-2015年工业和商服用地供应量达到供地总规模的1/3（图</w:t>
      </w:r>
      <w:r w:rsidR="0023345B" w:rsidRPr="00A973A0">
        <w:rPr>
          <w:rFonts w:ascii="仿宋_GB2312" w:eastAsia="仿宋_GB2312" w:hAnsiTheme="minorEastAsia" w:hint="eastAsia"/>
          <w:sz w:val="32"/>
          <w:szCs w:val="32"/>
        </w:rPr>
        <w:t>3</w:t>
      </w:r>
      <w:r w:rsidR="002F039B" w:rsidRPr="00A973A0">
        <w:rPr>
          <w:rFonts w:ascii="仿宋_GB2312" w:eastAsia="仿宋_GB2312" w:hAnsiTheme="minorEastAsia" w:hint="eastAsia"/>
          <w:sz w:val="32"/>
          <w:szCs w:val="32"/>
        </w:rPr>
        <w:t>.3）。</w:t>
      </w:r>
      <w:r w:rsidR="002F039B" w:rsidRPr="00A973A0">
        <w:rPr>
          <w:rFonts w:ascii="仿宋_GB2312" w:eastAsia="仿宋_GB2312" w:hAnsiTheme="minorEastAsia" w:hint="eastAsia"/>
          <w:sz w:val="32"/>
          <w:szCs w:val="32"/>
        </w:rPr>
        <w:lastRenderedPageBreak/>
        <w:t>在</w:t>
      </w:r>
      <w:r w:rsidR="00FF47B3" w:rsidRPr="00A973A0">
        <w:rPr>
          <w:rFonts w:ascii="仿宋_GB2312" w:eastAsia="仿宋_GB2312" w:hAnsiTheme="minorEastAsia" w:hint="eastAsia"/>
          <w:sz w:val="32"/>
          <w:szCs w:val="32"/>
        </w:rPr>
        <w:t>销售导向型的市场背景下，这样的供求结构直接导致开发企业在商办、工业用地基础上开发可售型物业</w:t>
      </w:r>
      <w:r w:rsidR="004C06C0" w:rsidRPr="00A973A0">
        <w:rPr>
          <w:rFonts w:ascii="仿宋_GB2312" w:eastAsia="仿宋_GB2312" w:hAnsiTheme="minorEastAsia" w:hint="eastAsia"/>
          <w:sz w:val="32"/>
          <w:szCs w:val="32"/>
        </w:rPr>
        <w:t>（酒店式公寓等形式）</w:t>
      </w:r>
      <w:r w:rsidR="00FF47B3" w:rsidRPr="00A973A0">
        <w:rPr>
          <w:rFonts w:ascii="仿宋_GB2312" w:eastAsia="仿宋_GB2312" w:hAnsiTheme="minorEastAsia" w:hint="eastAsia"/>
          <w:sz w:val="32"/>
          <w:szCs w:val="32"/>
        </w:rPr>
        <w:t>，降低商办、工业用地的运营价值，也导致工业、商办用地市场供大于求，中长期面临空置现象或经营风险</w:t>
      </w:r>
      <w:r w:rsidRPr="00A973A0">
        <w:rPr>
          <w:rFonts w:ascii="仿宋_GB2312" w:eastAsia="仿宋_GB2312" w:hAnsiTheme="minorEastAsia" w:hint="eastAsia"/>
          <w:sz w:val="32"/>
          <w:szCs w:val="32"/>
        </w:rPr>
        <w:t>。</w:t>
      </w:r>
      <w:r w:rsidR="00FF47B3" w:rsidRPr="00A973A0">
        <w:rPr>
          <w:rFonts w:ascii="仿宋_GB2312" w:eastAsia="仿宋_GB2312" w:hAnsiTheme="minorEastAsia" w:hint="eastAsia"/>
          <w:sz w:val="32"/>
          <w:szCs w:val="32"/>
        </w:rPr>
        <w:t>因此，应</w:t>
      </w:r>
      <w:r w:rsidR="002307A2" w:rsidRPr="00A973A0">
        <w:rPr>
          <w:rFonts w:ascii="仿宋_GB2312" w:eastAsia="仿宋_GB2312" w:hAnsiTheme="minorEastAsia" w:hint="eastAsia"/>
          <w:sz w:val="32"/>
          <w:szCs w:val="32"/>
        </w:rPr>
        <w:t>适当减少</w:t>
      </w:r>
      <w:r w:rsidR="00FF47B3" w:rsidRPr="00A973A0">
        <w:rPr>
          <w:rFonts w:ascii="仿宋_GB2312" w:eastAsia="仿宋_GB2312" w:hAnsiTheme="minorEastAsia" w:hint="eastAsia"/>
          <w:sz w:val="32"/>
          <w:szCs w:val="32"/>
        </w:rPr>
        <w:t>工业、商办用地规模</w:t>
      </w:r>
      <w:r w:rsidR="002307A2" w:rsidRPr="00A973A0">
        <w:rPr>
          <w:rFonts w:ascii="仿宋_GB2312" w:eastAsia="仿宋_GB2312" w:hAnsiTheme="minorEastAsia" w:hint="eastAsia"/>
          <w:sz w:val="32"/>
          <w:szCs w:val="32"/>
        </w:rPr>
        <w:t>，转而增加住宅用地供应规模，</w:t>
      </w:r>
      <w:r w:rsidR="00DB6862" w:rsidRPr="00A973A0">
        <w:rPr>
          <w:rFonts w:ascii="仿宋_GB2312" w:eastAsia="仿宋_GB2312" w:hAnsiTheme="minorEastAsia" w:hint="eastAsia"/>
          <w:sz w:val="32"/>
          <w:szCs w:val="32"/>
        </w:rPr>
        <w:t>同时</w:t>
      </w:r>
      <w:r w:rsidR="002307A2" w:rsidRPr="00A973A0">
        <w:rPr>
          <w:rFonts w:ascii="仿宋_GB2312" w:eastAsia="仿宋_GB2312" w:hAnsiTheme="minorEastAsia" w:hint="eastAsia"/>
          <w:sz w:val="32"/>
          <w:szCs w:val="32"/>
        </w:rPr>
        <w:t>盘活</w:t>
      </w:r>
      <w:r w:rsidR="00FF47B3" w:rsidRPr="00A973A0">
        <w:rPr>
          <w:rFonts w:ascii="仿宋_GB2312" w:eastAsia="仿宋_GB2312" w:hAnsiTheme="minorEastAsia" w:hint="eastAsia"/>
          <w:sz w:val="32"/>
          <w:szCs w:val="32"/>
        </w:rPr>
        <w:t>存量</w:t>
      </w:r>
      <w:r w:rsidR="002307A2" w:rsidRPr="00A973A0">
        <w:rPr>
          <w:rFonts w:ascii="仿宋_GB2312" w:eastAsia="仿宋_GB2312" w:hAnsiTheme="minorEastAsia" w:hint="eastAsia"/>
          <w:sz w:val="32"/>
          <w:szCs w:val="32"/>
        </w:rPr>
        <w:t>闲置或利用率不高的商办、工业用地</w:t>
      </w:r>
      <w:r w:rsidR="00FF47B3" w:rsidRPr="00A973A0">
        <w:rPr>
          <w:rFonts w:ascii="仿宋_GB2312" w:eastAsia="仿宋_GB2312" w:hAnsiTheme="minorEastAsia" w:hint="eastAsia"/>
          <w:sz w:val="32"/>
          <w:szCs w:val="32"/>
        </w:rPr>
        <w:t>，降低商办、工业用地比例，增加住宅用地比例，从根本上改变上海市用地结构性矛盾</w:t>
      </w:r>
      <w:r w:rsidR="002307A2" w:rsidRPr="00A973A0">
        <w:rPr>
          <w:rFonts w:ascii="仿宋_GB2312" w:eastAsia="仿宋_GB2312" w:hAnsiTheme="minorEastAsia" w:hint="eastAsia"/>
          <w:sz w:val="32"/>
          <w:szCs w:val="32"/>
        </w:rPr>
        <w:t>。</w:t>
      </w:r>
    </w:p>
    <w:p w:rsidR="00E35364" w:rsidRPr="00B42832" w:rsidRDefault="00E35364" w:rsidP="00B42832">
      <w:pPr>
        <w:widowControl/>
        <w:spacing w:line="360" w:lineRule="auto"/>
        <w:rPr>
          <w:rFonts w:asciiTheme="minorEastAsia" w:hAnsiTheme="minorEastAsia"/>
          <w:sz w:val="24"/>
          <w:szCs w:val="24"/>
        </w:rPr>
      </w:pPr>
      <w:r w:rsidRPr="00B42832">
        <w:rPr>
          <w:rFonts w:asciiTheme="minorEastAsia" w:hAnsiTheme="minorEastAsia"/>
          <w:noProof/>
          <w:sz w:val="24"/>
          <w:szCs w:val="24"/>
        </w:rPr>
        <w:drawing>
          <wp:inline distT="0" distB="0" distL="0" distR="0">
            <wp:extent cx="5257800" cy="2291334"/>
            <wp:effectExtent l="19050" t="0" r="0" b="0"/>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262120" cy="2293217"/>
                    </a:xfrm>
                    <a:prstGeom prst="rect">
                      <a:avLst/>
                    </a:prstGeom>
                    <a:noFill/>
                  </pic:spPr>
                </pic:pic>
              </a:graphicData>
            </a:graphic>
          </wp:inline>
        </w:drawing>
      </w:r>
    </w:p>
    <w:p w:rsidR="00B71D08" w:rsidRPr="00A973A0" w:rsidRDefault="00B71D08" w:rsidP="00B42832">
      <w:pPr>
        <w:widowControl/>
        <w:spacing w:line="360" w:lineRule="auto"/>
        <w:jc w:val="center"/>
        <w:rPr>
          <w:rFonts w:asciiTheme="minorEastAsia" w:hAnsiTheme="minorEastAsia"/>
          <w:b/>
          <w:szCs w:val="21"/>
        </w:rPr>
      </w:pPr>
      <w:r w:rsidRPr="00A973A0">
        <w:rPr>
          <w:rFonts w:asciiTheme="minorEastAsia" w:hAnsiTheme="minorEastAsia" w:hint="eastAsia"/>
          <w:b/>
          <w:szCs w:val="21"/>
        </w:rPr>
        <w:t>图</w:t>
      </w:r>
      <w:r w:rsidR="0023345B" w:rsidRPr="00A973A0">
        <w:rPr>
          <w:rFonts w:asciiTheme="minorEastAsia" w:hAnsiTheme="minorEastAsia" w:hint="eastAsia"/>
          <w:b/>
          <w:szCs w:val="21"/>
        </w:rPr>
        <w:t>3</w:t>
      </w:r>
      <w:r w:rsidR="004318C2" w:rsidRPr="00A973A0">
        <w:rPr>
          <w:rFonts w:asciiTheme="minorEastAsia" w:hAnsiTheme="minorEastAsia" w:hint="eastAsia"/>
          <w:b/>
          <w:szCs w:val="21"/>
        </w:rPr>
        <w:t>.3</w:t>
      </w:r>
      <w:r w:rsidRPr="00A973A0">
        <w:rPr>
          <w:rFonts w:asciiTheme="minorEastAsia" w:hAnsiTheme="minorEastAsia" w:hint="eastAsia"/>
          <w:b/>
          <w:szCs w:val="21"/>
        </w:rPr>
        <w:t xml:space="preserve"> 上海市住宅供应占比（数据来源：上海市规划与国土资源管理局官方网站）</w:t>
      </w:r>
    </w:p>
    <w:p w:rsidR="009003BA" w:rsidRPr="00B42832" w:rsidRDefault="009003BA" w:rsidP="00B42832">
      <w:pPr>
        <w:widowControl/>
        <w:spacing w:line="360" w:lineRule="auto"/>
        <w:jc w:val="center"/>
        <w:rPr>
          <w:rFonts w:asciiTheme="minorEastAsia" w:hAnsiTheme="minorEastAsia"/>
          <w:sz w:val="24"/>
          <w:szCs w:val="24"/>
        </w:rPr>
      </w:pPr>
    </w:p>
    <w:p w:rsidR="00B71D08" w:rsidRPr="00B42832" w:rsidRDefault="00DB6862" w:rsidP="00B42832">
      <w:pPr>
        <w:widowControl/>
        <w:spacing w:line="360" w:lineRule="auto"/>
        <w:jc w:val="center"/>
        <w:rPr>
          <w:rFonts w:asciiTheme="minorEastAsia" w:hAnsiTheme="minorEastAsia"/>
          <w:sz w:val="24"/>
          <w:szCs w:val="24"/>
        </w:rPr>
      </w:pPr>
      <w:r w:rsidRPr="00B42832">
        <w:rPr>
          <w:rFonts w:asciiTheme="minorEastAsia" w:hAnsiTheme="minorEastAsia"/>
          <w:noProof/>
          <w:sz w:val="24"/>
          <w:szCs w:val="24"/>
        </w:rPr>
        <w:drawing>
          <wp:inline distT="0" distB="0" distL="0" distR="0">
            <wp:extent cx="4144010" cy="2286000"/>
            <wp:effectExtent l="1905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8092" t="7560" r="1646" b="9966"/>
                    <a:stretch>
                      <a:fillRect/>
                    </a:stretch>
                  </pic:blipFill>
                  <pic:spPr bwMode="auto">
                    <a:xfrm>
                      <a:off x="0" y="0"/>
                      <a:ext cx="4144010" cy="2286000"/>
                    </a:xfrm>
                    <a:prstGeom prst="rect">
                      <a:avLst/>
                    </a:prstGeom>
                    <a:noFill/>
                  </pic:spPr>
                </pic:pic>
              </a:graphicData>
            </a:graphic>
          </wp:inline>
        </w:drawing>
      </w:r>
    </w:p>
    <w:p w:rsidR="00B71D08" w:rsidRPr="00A973A0" w:rsidRDefault="00B71D08" w:rsidP="00B42832">
      <w:pPr>
        <w:widowControl/>
        <w:spacing w:line="360" w:lineRule="auto"/>
        <w:jc w:val="center"/>
        <w:rPr>
          <w:rFonts w:asciiTheme="minorEastAsia" w:hAnsiTheme="minorEastAsia"/>
          <w:b/>
          <w:spacing w:val="-6"/>
          <w:szCs w:val="21"/>
        </w:rPr>
      </w:pPr>
      <w:r w:rsidRPr="00A973A0">
        <w:rPr>
          <w:rFonts w:asciiTheme="minorEastAsia" w:hAnsiTheme="minorEastAsia" w:hint="eastAsia"/>
          <w:b/>
          <w:spacing w:val="-6"/>
          <w:szCs w:val="21"/>
        </w:rPr>
        <w:t>图</w:t>
      </w:r>
      <w:r w:rsidR="0023345B" w:rsidRPr="00A973A0">
        <w:rPr>
          <w:rFonts w:asciiTheme="minorEastAsia" w:hAnsiTheme="minorEastAsia" w:hint="eastAsia"/>
          <w:b/>
          <w:spacing w:val="-6"/>
          <w:szCs w:val="21"/>
        </w:rPr>
        <w:t>3</w:t>
      </w:r>
      <w:r w:rsidR="00DB6862" w:rsidRPr="00A973A0">
        <w:rPr>
          <w:rFonts w:asciiTheme="minorEastAsia" w:hAnsiTheme="minorEastAsia" w:hint="eastAsia"/>
          <w:b/>
          <w:spacing w:val="-6"/>
          <w:szCs w:val="21"/>
        </w:rPr>
        <w:t>.4</w:t>
      </w:r>
      <w:r w:rsidR="009A196E" w:rsidRPr="00A973A0">
        <w:rPr>
          <w:rFonts w:asciiTheme="minorEastAsia" w:hAnsiTheme="minorEastAsia" w:hint="eastAsia"/>
          <w:b/>
          <w:spacing w:val="-6"/>
          <w:szCs w:val="21"/>
        </w:rPr>
        <w:t xml:space="preserve"> </w:t>
      </w:r>
      <w:r w:rsidRPr="00A973A0">
        <w:rPr>
          <w:rFonts w:asciiTheme="minorEastAsia" w:hAnsiTheme="minorEastAsia" w:hint="eastAsia"/>
          <w:b/>
          <w:spacing w:val="-6"/>
          <w:szCs w:val="21"/>
        </w:rPr>
        <w:t>200</w:t>
      </w:r>
      <w:r w:rsidR="009A196E" w:rsidRPr="00A973A0">
        <w:rPr>
          <w:rFonts w:asciiTheme="minorEastAsia" w:hAnsiTheme="minorEastAsia" w:hint="eastAsia"/>
          <w:b/>
          <w:spacing w:val="-6"/>
          <w:szCs w:val="21"/>
        </w:rPr>
        <w:t>9</w:t>
      </w:r>
      <w:r w:rsidRPr="00A973A0">
        <w:rPr>
          <w:rFonts w:asciiTheme="minorEastAsia" w:hAnsiTheme="minorEastAsia" w:hint="eastAsia"/>
          <w:b/>
          <w:spacing w:val="-6"/>
          <w:szCs w:val="21"/>
        </w:rPr>
        <w:t>年-2015</w:t>
      </w:r>
      <w:r w:rsidR="003B6C7C" w:rsidRPr="00A973A0">
        <w:rPr>
          <w:rFonts w:asciiTheme="minorEastAsia" w:hAnsiTheme="minorEastAsia" w:hint="eastAsia"/>
          <w:b/>
          <w:spacing w:val="-6"/>
          <w:szCs w:val="21"/>
        </w:rPr>
        <w:t>年上海</w:t>
      </w:r>
      <w:r w:rsidR="00DB6862" w:rsidRPr="00A973A0">
        <w:rPr>
          <w:rFonts w:asciiTheme="minorEastAsia" w:hAnsiTheme="minorEastAsia" w:hint="eastAsia"/>
          <w:b/>
          <w:spacing w:val="-6"/>
          <w:szCs w:val="21"/>
        </w:rPr>
        <w:t>供地</w:t>
      </w:r>
      <w:r w:rsidRPr="00A973A0">
        <w:rPr>
          <w:rFonts w:asciiTheme="minorEastAsia" w:hAnsiTheme="minorEastAsia" w:hint="eastAsia"/>
          <w:b/>
          <w:spacing w:val="-6"/>
          <w:szCs w:val="21"/>
        </w:rPr>
        <w:t>结构</w:t>
      </w:r>
      <w:r w:rsidR="00DB6862" w:rsidRPr="00A973A0">
        <w:rPr>
          <w:rFonts w:asciiTheme="minorEastAsia" w:hAnsiTheme="minorEastAsia" w:hint="eastAsia"/>
          <w:b/>
          <w:spacing w:val="-6"/>
          <w:szCs w:val="21"/>
        </w:rPr>
        <w:t>图</w:t>
      </w:r>
      <w:r w:rsidRPr="00A973A0">
        <w:rPr>
          <w:rFonts w:asciiTheme="minorEastAsia" w:hAnsiTheme="minorEastAsia" w:hint="eastAsia"/>
          <w:b/>
          <w:spacing w:val="-6"/>
          <w:szCs w:val="21"/>
        </w:rPr>
        <w:t>（数据来源：上海市规划与国土资源管理局官方网站）</w:t>
      </w:r>
    </w:p>
    <w:p w:rsidR="009003BA" w:rsidRPr="00A973A0" w:rsidRDefault="008C47A3" w:rsidP="00B42832">
      <w:pPr>
        <w:widowControl/>
        <w:spacing w:line="360" w:lineRule="auto"/>
        <w:ind w:firstLineChars="200" w:firstLine="640"/>
        <w:rPr>
          <w:rFonts w:ascii="仿宋_GB2312" w:eastAsia="仿宋_GB2312" w:hAnsiTheme="minorEastAsia"/>
          <w:sz w:val="32"/>
          <w:szCs w:val="32"/>
        </w:rPr>
      </w:pPr>
      <w:r w:rsidRPr="00A973A0">
        <w:rPr>
          <w:rFonts w:ascii="仿宋_GB2312" w:eastAsia="仿宋_GB2312" w:hAnsiTheme="minorEastAsia" w:hint="eastAsia"/>
          <w:sz w:val="32"/>
          <w:szCs w:val="32"/>
        </w:rPr>
        <w:lastRenderedPageBreak/>
        <w:t>在用地结构调整当中，租赁住宅可以作为一种灵活的供地方式，有效快速的增加住宅供应，</w:t>
      </w:r>
      <w:r w:rsidR="004C06C0" w:rsidRPr="00A973A0">
        <w:rPr>
          <w:rFonts w:ascii="仿宋_GB2312" w:eastAsia="仿宋_GB2312" w:hAnsiTheme="minorEastAsia" w:hint="eastAsia"/>
          <w:sz w:val="32"/>
          <w:szCs w:val="32"/>
        </w:rPr>
        <w:t>租赁住宅按照“只租不售”管理，仅用于出租，不得出售，受让人应在出让年限内整体持有租赁住房物业并持续出租经营。</w:t>
      </w:r>
      <w:r w:rsidRPr="00A973A0">
        <w:rPr>
          <w:rFonts w:ascii="仿宋_GB2312" w:eastAsia="仿宋_GB2312" w:hAnsiTheme="minorEastAsia" w:hint="eastAsia"/>
          <w:sz w:val="32"/>
          <w:szCs w:val="32"/>
        </w:rPr>
        <w:t>2017年</w:t>
      </w:r>
      <w:r w:rsidR="00171D7A" w:rsidRPr="00A973A0">
        <w:rPr>
          <w:rFonts w:ascii="仿宋_GB2312" w:eastAsia="仿宋_GB2312" w:hAnsiTheme="minorEastAsia" w:hint="eastAsia"/>
          <w:sz w:val="32"/>
          <w:szCs w:val="32"/>
        </w:rPr>
        <w:t>7月</w:t>
      </w:r>
      <w:r w:rsidR="00CC4666" w:rsidRPr="00A973A0">
        <w:rPr>
          <w:rFonts w:ascii="仿宋_GB2312" w:eastAsia="仿宋_GB2312" w:hAnsiTheme="minorEastAsia" w:hint="eastAsia"/>
          <w:sz w:val="32"/>
          <w:szCs w:val="32"/>
        </w:rPr>
        <w:t>，</w:t>
      </w:r>
      <w:r w:rsidR="006843D8" w:rsidRPr="00A973A0">
        <w:rPr>
          <w:rFonts w:ascii="仿宋_GB2312" w:eastAsia="仿宋_GB2312" w:hAnsiTheme="minorEastAsia" w:hint="eastAsia"/>
          <w:sz w:val="32"/>
          <w:szCs w:val="32"/>
        </w:rPr>
        <w:t>国家</w:t>
      </w:r>
      <w:r w:rsidR="00CC4666" w:rsidRPr="00A973A0">
        <w:rPr>
          <w:rFonts w:ascii="仿宋_GB2312" w:eastAsia="仿宋_GB2312" w:hAnsiTheme="minorEastAsia" w:hint="eastAsia"/>
          <w:sz w:val="32"/>
          <w:szCs w:val="32"/>
        </w:rPr>
        <w:t>住建委等9</w:t>
      </w:r>
      <w:r w:rsidRPr="00A973A0">
        <w:rPr>
          <w:rFonts w:ascii="仿宋_GB2312" w:eastAsia="仿宋_GB2312" w:hAnsiTheme="minorEastAsia" w:hint="eastAsia"/>
          <w:sz w:val="32"/>
          <w:szCs w:val="32"/>
        </w:rPr>
        <w:t>部委联合发布了《关于</w:t>
      </w:r>
      <w:r w:rsidR="00CC4666" w:rsidRPr="00A973A0">
        <w:rPr>
          <w:rFonts w:ascii="仿宋_GB2312" w:eastAsia="仿宋_GB2312" w:hAnsiTheme="minorEastAsia" w:hint="eastAsia"/>
          <w:sz w:val="32"/>
          <w:szCs w:val="32"/>
        </w:rPr>
        <w:t>在人口净流入的大中城市加快发展住房租赁市场的通知</w:t>
      </w:r>
      <w:r w:rsidRPr="00A973A0">
        <w:rPr>
          <w:rFonts w:ascii="仿宋_GB2312" w:eastAsia="仿宋_GB2312" w:hAnsiTheme="minorEastAsia" w:hint="eastAsia"/>
          <w:sz w:val="32"/>
          <w:szCs w:val="32"/>
        </w:rPr>
        <w:t>》</w:t>
      </w:r>
      <w:r w:rsidR="00CC4666" w:rsidRPr="00A973A0">
        <w:rPr>
          <w:rFonts w:ascii="仿宋_GB2312" w:eastAsia="仿宋_GB2312" w:hAnsiTheme="minorEastAsia" w:hint="eastAsia"/>
          <w:sz w:val="32"/>
          <w:szCs w:val="32"/>
        </w:rPr>
        <w:t>，提出“在租赁住房供需矛盾突出的超大和特大城市，大力发展租赁住房”，同时在后续的配套政策当中提出“鼓励有条件地区将</w:t>
      </w:r>
      <w:r w:rsidR="004C06C0" w:rsidRPr="00A973A0">
        <w:rPr>
          <w:rFonts w:ascii="仿宋_GB2312" w:eastAsia="仿宋_GB2312" w:hAnsiTheme="minorEastAsia" w:hint="eastAsia"/>
          <w:sz w:val="32"/>
          <w:szCs w:val="32"/>
        </w:rPr>
        <w:t>存量商业用地、闲置工业</w:t>
      </w:r>
      <w:r w:rsidR="00CC4666" w:rsidRPr="00A973A0">
        <w:rPr>
          <w:rFonts w:ascii="仿宋_GB2312" w:eastAsia="仿宋_GB2312" w:hAnsiTheme="minorEastAsia" w:hint="eastAsia"/>
          <w:sz w:val="32"/>
          <w:szCs w:val="32"/>
        </w:rPr>
        <w:t>用地、集体建设用地转为租赁住房”</w:t>
      </w:r>
      <w:r w:rsidR="00171D7A" w:rsidRPr="00A973A0">
        <w:rPr>
          <w:rFonts w:ascii="仿宋_GB2312" w:eastAsia="仿宋_GB2312" w:hAnsiTheme="minorEastAsia" w:hint="eastAsia"/>
          <w:sz w:val="32"/>
          <w:szCs w:val="32"/>
        </w:rPr>
        <w:t>，上海作为响应最快</w:t>
      </w:r>
      <w:r w:rsidR="001C1A72" w:rsidRPr="00A973A0">
        <w:rPr>
          <w:rFonts w:ascii="仿宋_GB2312" w:eastAsia="仿宋_GB2312" w:hAnsiTheme="minorEastAsia" w:hint="eastAsia"/>
          <w:sz w:val="32"/>
          <w:szCs w:val="32"/>
        </w:rPr>
        <w:t>的城市，至2017年</w:t>
      </w:r>
      <w:r w:rsidR="0023612A" w:rsidRPr="00A973A0">
        <w:rPr>
          <w:rFonts w:ascii="仿宋_GB2312" w:eastAsia="仿宋_GB2312" w:hAnsiTheme="minorEastAsia" w:hint="eastAsia"/>
          <w:sz w:val="32"/>
          <w:szCs w:val="32"/>
        </w:rPr>
        <w:t>9月</w:t>
      </w:r>
      <w:r w:rsidR="001C1A72" w:rsidRPr="00A973A0">
        <w:rPr>
          <w:rFonts w:ascii="仿宋_GB2312" w:eastAsia="仿宋_GB2312" w:hAnsiTheme="minorEastAsia" w:hint="eastAsia"/>
          <w:sz w:val="32"/>
          <w:szCs w:val="32"/>
        </w:rPr>
        <w:t>已经完成了</w:t>
      </w:r>
      <w:r w:rsidR="0023612A" w:rsidRPr="00A973A0">
        <w:rPr>
          <w:rFonts w:ascii="仿宋_GB2312" w:eastAsia="仿宋_GB2312" w:hAnsiTheme="minorEastAsia" w:hint="eastAsia"/>
          <w:sz w:val="32"/>
          <w:szCs w:val="32"/>
        </w:rPr>
        <w:t>6</w:t>
      </w:r>
      <w:r w:rsidR="001C1A72" w:rsidRPr="00A973A0">
        <w:rPr>
          <w:rFonts w:ascii="仿宋_GB2312" w:eastAsia="仿宋_GB2312" w:hAnsiTheme="minorEastAsia" w:hint="eastAsia"/>
          <w:sz w:val="32"/>
          <w:szCs w:val="32"/>
        </w:rPr>
        <w:t>幅租赁住宅的出让，为市场提供了</w:t>
      </w:r>
      <w:r w:rsidR="008242AE" w:rsidRPr="00A973A0">
        <w:rPr>
          <w:rFonts w:ascii="仿宋_GB2312" w:eastAsia="仿宋_GB2312" w:hAnsiTheme="minorEastAsia" w:hint="eastAsia"/>
          <w:sz w:val="32"/>
          <w:szCs w:val="32"/>
        </w:rPr>
        <w:t>有效的住房供应</w:t>
      </w:r>
      <w:r w:rsidR="004C06C0" w:rsidRPr="00A973A0">
        <w:rPr>
          <w:rFonts w:ascii="仿宋_GB2312" w:eastAsia="仿宋_GB2312" w:hAnsiTheme="minorEastAsia" w:hint="eastAsia"/>
          <w:sz w:val="32"/>
          <w:szCs w:val="32"/>
        </w:rPr>
        <w:t>。</w:t>
      </w:r>
      <w:r w:rsidR="004C06C0" w:rsidRPr="00A973A0">
        <w:rPr>
          <w:rFonts w:ascii="仿宋_GB2312" w:eastAsia="仿宋_GB2312" w:hAnsiTheme="minorEastAsia" w:hint="eastAsia"/>
          <w:b/>
          <w:sz w:val="32"/>
          <w:szCs w:val="32"/>
        </w:rPr>
        <w:t>租赁住宅土地价格按照</w:t>
      </w:r>
      <w:r w:rsidR="006843D8" w:rsidRPr="00A973A0">
        <w:rPr>
          <w:rFonts w:ascii="仿宋_GB2312" w:eastAsia="仿宋_GB2312" w:hAnsiTheme="minorEastAsia" w:hint="eastAsia"/>
          <w:b/>
          <w:sz w:val="32"/>
          <w:szCs w:val="32"/>
        </w:rPr>
        <w:t>地区</w:t>
      </w:r>
      <w:r w:rsidR="004C06C0" w:rsidRPr="00A973A0">
        <w:rPr>
          <w:rFonts w:ascii="仿宋_GB2312" w:eastAsia="仿宋_GB2312" w:hAnsiTheme="minorEastAsia" w:hint="eastAsia"/>
          <w:b/>
          <w:sz w:val="32"/>
          <w:szCs w:val="32"/>
        </w:rPr>
        <w:t>租金水平</w:t>
      </w:r>
      <w:r w:rsidR="006843D8" w:rsidRPr="00A973A0">
        <w:rPr>
          <w:rFonts w:ascii="仿宋_GB2312" w:eastAsia="仿宋_GB2312" w:hAnsiTheme="minorEastAsia" w:hint="eastAsia"/>
          <w:b/>
          <w:sz w:val="32"/>
          <w:szCs w:val="32"/>
        </w:rPr>
        <w:t>定价</w:t>
      </w:r>
      <w:r w:rsidR="001C1A72" w:rsidRPr="00A973A0">
        <w:rPr>
          <w:rFonts w:ascii="仿宋_GB2312" w:eastAsia="仿宋_GB2312" w:hAnsiTheme="minorEastAsia" w:hint="eastAsia"/>
          <w:b/>
          <w:sz w:val="32"/>
          <w:szCs w:val="32"/>
        </w:rPr>
        <w:t>，</w:t>
      </w:r>
      <w:r w:rsidR="006843D8" w:rsidRPr="00A973A0">
        <w:rPr>
          <w:rFonts w:ascii="仿宋_GB2312" w:eastAsia="仿宋_GB2312" w:hAnsiTheme="minorEastAsia" w:hint="eastAsia"/>
          <w:b/>
          <w:sz w:val="32"/>
          <w:szCs w:val="32"/>
        </w:rPr>
        <w:t>其价格水平远低于同地段的普通商品房住宅用地</w:t>
      </w:r>
      <w:r w:rsidR="004F5209" w:rsidRPr="00A973A0">
        <w:rPr>
          <w:rFonts w:ascii="仿宋_GB2312" w:eastAsia="仿宋_GB2312" w:hAnsiTheme="minorEastAsia" w:hint="eastAsia"/>
          <w:b/>
          <w:sz w:val="32"/>
          <w:szCs w:val="32"/>
        </w:rPr>
        <w:t>（表3.1）</w:t>
      </w:r>
      <w:r w:rsidR="006843D8" w:rsidRPr="00A973A0">
        <w:rPr>
          <w:rFonts w:ascii="仿宋_GB2312" w:eastAsia="仿宋_GB2312" w:hAnsiTheme="minorEastAsia" w:hint="eastAsia"/>
          <w:b/>
          <w:sz w:val="32"/>
          <w:szCs w:val="32"/>
        </w:rPr>
        <w:t>，上海的经验表明，租赁住宅用地</w:t>
      </w:r>
      <w:r w:rsidR="004C06C0" w:rsidRPr="00A973A0">
        <w:rPr>
          <w:rFonts w:ascii="仿宋_GB2312" w:eastAsia="仿宋_GB2312" w:hAnsiTheme="minorEastAsia" w:hint="eastAsia"/>
          <w:b/>
          <w:sz w:val="32"/>
          <w:szCs w:val="32"/>
        </w:rPr>
        <w:t>对抑制“地王”现象</w:t>
      </w:r>
      <w:r w:rsidR="008242AE" w:rsidRPr="00A973A0">
        <w:rPr>
          <w:rFonts w:ascii="仿宋_GB2312" w:eastAsia="仿宋_GB2312" w:hAnsiTheme="minorEastAsia" w:hint="eastAsia"/>
          <w:b/>
          <w:sz w:val="32"/>
          <w:szCs w:val="32"/>
        </w:rPr>
        <w:t>起到了立竿见影的效果。</w:t>
      </w:r>
      <w:r w:rsidR="008242AE" w:rsidRPr="00A973A0">
        <w:rPr>
          <w:rFonts w:ascii="仿宋_GB2312" w:eastAsia="仿宋_GB2312" w:hAnsiTheme="minorEastAsia" w:hint="eastAsia"/>
          <w:sz w:val="32"/>
          <w:szCs w:val="32"/>
        </w:rPr>
        <w:t>目前上海市存量工业用地面积844平方公里，其中包括大量的闲置用地和集体用地，将其有条件</w:t>
      </w:r>
      <w:r w:rsidR="00220459" w:rsidRPr="00A973A0">
        <w:rPr>
          <w:rFonts w:ascii="仿宋_GB2312" w:eastAsia="仿宋_GB2312" w:hAnsiTheme="minorEastAsia" w:hint="eastAsia"/>
          <w:sz w:val="32"/>
          <w:szCs w:val="32"/>
        </w:rPr>
        <w:t>的</w:t>
      </w:r>
      <w:r w:rsidR="008242AE" w:rsidRPr="00A973A0">
        <w:rPr>
          <w:rFonts w:ascii="仿宋_GB2312" w:eastAsia="仿宋_GB2312" w:hAnsiTheme="minorEastAsia" w:hint="eastAsia"/>
          <w:sz w:val="32"/>
          <w:szCs w:val="32"/>
        </w:rPr>
        <w:t>转化为租赁住宅，不仅能够提高住房的有效供应，抑制过高的</w:t>
      </w:r>
      <w:r w:rsidR="006843D8" w:rsidRPr="00A973A0">
        <w:rPr>
          <w:rFonts w:ascii="仿宋_GB2312" w:eastAsia="仿宋_GB2312" w:hAnsiTheme="minorEastAsia" w:hint="eastAsia"/>
          <w:sz w:val="32"/>
          <w:szCs w:val="32"/>
        </w:rPr>
        <w:t>住房</w:t>
      </w:r>
      <w:r w:rsidR="008242AE" w:rsidRPr="00A973A0">
        <w:rPr>
          <w:rFonts w:ascii="仿宋_GB2312" w:eastAsia="仿宋_GB2312" w:hAnsiTheme="minorEastAsia" w:hint="eastAsia"/>
          <w:sz w:val="32"/>
          <w:szCs w:val="32"/>
        </w:rPr>
        <w:t>价格，而且能盘活低效闲置用地，改善用地结构，不失为房地产供给侧调控的长效政策。</w:t>
      </w:r>
    </w:p>
    <w:p w:rsidR="00DA70D1" w:rsidRPr="00A973A0" w:rsidRDefault="00DA70D1" w:rsidP="00B42832">
      <w:pPr>
        <w:widowControl/>
        <w:spacing w:line="360" w:lineRule="auto"/>
        <w:jc w:val="center"/>
        <w:rPr>
          <w:rFonts w:asciiTheme="minorEastAsia" w:hAnsiTheme="minorEastAsia"/>
          <w:b/>
          <w:szCs w:val="21"/>
        </w:rPr>
      </w:pPr>
      <w:r w:rsidRPr="00A973A0">
        <w:rPr>
          <w:rFonts w:asciiTheme="minorEastAsia" w:hAnsiTheme="minorEastAsia" w:hint="eastAsia"/>
          <w:b/>
          <w:szCs w:val="21"/>
        </w:rPr>
        <w:t>表3.1上海市部分租赁住宅土地</w:t>
      </w:r>
      <w:r w:rsidR="0023612A" w:rsidRPr="00A973A0">
        <w:rPr>
          <w:rFonts w:asciiTheme="minorEastAsia" w:hAnsiTheme="minorEastAsia" w:hint="eastAsia"/>
          <w:b/>
          <w:szCs w:val="21"/>
        </w:rPr>
        <w:t>出让</w:t>
      </w:r>
      <w:r w:rsidRPr="00A973A0">
        <w:rPr>
          <w:rFonts w:asciiTheme="minorEastAsia" w:hAnsiTheme="minorEastAsia" w:hint="eastAsia"/>
          <w:b/>
          <w:szCs w:val="21"/>
        </w:rPr>
        <w:t>价格</w:t>
      </w:r>
    </w:p>
    <w:p w:rsidR="008D6C3B" w:rsidRPr="00A973A0" w:rsidRDefault="008D6C3B" w:rsidP="00B42832">
      <w:pPr>
        <w:widowControl/>
        <w:spacing w:line="360" w:lineRule="auto"/>
        <w:jc w:val="center"/>
        <w:rPr>
          <w:rFonts w:asciiTheme="minorEastAsia" w:hAnsiTheme="minorEastAsia"/>
          <w:b/>
          <w:szCs w:val="21"/>
        </w:rPr>
      </w:pPr>
      <w:r w:rsidRPr="00A973A0">
        <w:rPr>
          <w:rFonts w:asciiTheme="minorEastAsia" w:hAnsiTheme="minorEastAsia" w:hint="eastAsia"/>
          <w:b/>
          <w:szCs w:val="21"/>
        </w:rPr>
        <w:t>（数据来源：上海市规划与国土资源管理局官方网站）</w:t>
      </w:r>
    </w:p>
    <w:tbl>
      <w:tblPr>
        <w:tblStyle w:val="aa"/>
        <w:tblW w:w="0" w:type="auto"/>
        <w:jc w:val="center"/>
        <w:tblLook w:val="04A0" w:firstRow="1" w:lastRow="0" w:firstColumn="1" w:lastColumn="0" w:noHBand="0" w:noVBand="1"/>
      </w:tblPr>
      <w:tblGrid>
        <w:gridCol w:w="1242"/>
        <w:gridCol w:w="2410"/>
        <w:gridCol w:w="2126"/>
        <w:gridCol w:w="2127"/>
      </w:tblGrid>
      <w:tr w:rsidR="008D6C3B" w:rsidRPr="00B42832" w:rsidTr="00DA70D1">
        <w:trPr>
          <w:jc w:val="center"/>
        </w:trPr>
        <w:tc>
          <w:tcPr>
            <w:tcW w:w="1242" w:type="dxa"/>
          </w:tcPr>
          <w:p w:rsidR="004F5209"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地块名称</w:t>
            </w:r>
          </w:p>
        </w:tc>
        <w:tc>
          <w:tcPr>
            <w:tcW w:w="2410" w:type="dxa"/>
          </w:tcPr>
          <w:p w:rsidR="004F5209"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所在区域</w:t>
            </w:r>
          </w:p>
        </w:tc>
        <w:tc>
          <w:tcPr>
            <w:tcW w:w="2126"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土地出让价格</w:t>
            </w:r>
          </w:p>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(楼面单价，元/平米)</w:t>
            </w:r>
          </w:p>
        </w:tc>
        <w:tc>
          <w:tcPr>
            <w:tcW w:w="2127"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周边商品房参考价格</w:t>
            </w:r>
          </w:p>
          <w:p w:rsidR="004F5209"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(房价，元/平米)</w:t>
            </w:r>
          </w:p>
        </w:tc>
      </w:tr>
      <w:tr w:rsidR="008D6C3B" w:rsidRPr="00B42832" w:rsidTr="00DA70D1">
        <w:trPr>
          <w:jc w:val="center"/>
        </w:trPr>
        <w:tc>
          <w:tcPr>
            <w:tcW w:w="1242" w:type="dxa"/>
          </w:tcPr>
          <w:p w:rsidR="004F5209"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lastRenderedPageBreak/>
              <w:t>14-</w:t>
            </w:r>
            <w:r w:rsidRPr="00B42832">
              <w:rPr>
                <w:rFonts w:asciiTheme="minorEastAsia" w:hAnsiTheme="minorEastAsia"/>
                <w:sz w:val="24"/>
                <w:szCs w:val="24"/>
              </w:rPr>
              <w:t>03</w:t>
            </w:r>
            <w:r w:rsidRPr="00B42832">
              <w:rPr>
                <w:rFonts w:asciiTheme="minorEastAsia" w:hAnsiTheme="minorEastAsia" w:hint="eastAsia"/>
                <w:sz w:val="24"/>
                <w:szCs w:val="24"/>
              </w:rPr>
              <w:t>C</w:t>
            </w:r>
          </w:p>
        </w:tc>
        <w:tc>
          <w:tcPr>
            <w:tcW w:w="2410" w:type="dxa"/>
          </w:tcPr>
          <w:p w:rsidR="004F5209"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浦东新区世博板块</w:t>
            </w:r>
          </w:p>
        </w:tc>
        <w:tc>
          <w:tcPr>
            <w:tcW w:w="2126" w:type="dxa"/>
          </w:tcPr>
          <w:p w:rsidR="004F5209"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7872</w:t>
            </w:r>
          </w:p>
        </w:tc>
        <w:tc>
          <w:tcPr>
            <w:tcW w:w="2127" w:type="dxa"/>
          </w:tcPr>
          <w:p w:rsidR="004F5209"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8万-</w:t>
            </w:r>
            <w:r w:rsidRPr="00B42832">
              <w:rPr>
                <w:rFonts w:asciiTheme="minorEastAsia" w:hAnsiTheme="minorEastAsia"/>
                <w:sz w:val="24"/>
                <w:szCs w:val="24"/>
              </w:rPr>
              <w:t>9</w:t>
            </w:r>
            <w:r w:rsidRPr="00B42832">
              <w:rPr>
                <w:rFonts w:asciiTheme="minorEastAsia" w:hAnsiTheme="minorEastAsia" w:hint="eastAsia"/>
                <w:sz w:val="24"/>
                <w:szCs w:val="24"/>
              </w:rPr>
              <w:t>万</w:t>
            </w:r>
          </w:p>
        </w:tc>
      </w:tr>
      <w:tr w:rsidR="008D6C3B" w:rsidRPr="00B42832" w:rsidTr="00DA70D1">
        <w:trPr>
          <w:jc w:val="center"/>
        </w:trPr>
        <w:tc>
          <w:tcPr>
            <w:tcW w:w="1242"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Z000501</w:t>
            </w:r>
          </w:p>
        </w:tc>
        <w:tc>
          <w:tcPr>
            <w:tcW w:w="2410"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浦东新区北蔡板块</w:t>
            </w:r>
          </w:p>
        </w:tc>
        <w:tc>
          <w:tcPr>
            <w:tcW w:w="2126"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6748</w:t>
            </w:r>
          </w:p>
        </w:tc>
        <w:tc>
          <w:tcPr>
            <w:tcW w:w="2127"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6万-</w:t>
            </w:r>
            <w:r w:rsidRPr="00B42832">
              <w:rPr>
                <w:rFonts w:asciiTheme="minorEastAsia" w:hAnsiTheme="minorEastAsia"/>
                <w:sz w:val="24"/>
                <w:szCs w:val="24"/>
              </w:rPr>
              <w:t>7</w:t>
            </w:r>
            <w:r w:rsidRPr="00B42832">
              <w:rPr>
                <w:rFonts w:asciiTheme="minorEastAsia" w:hAnsiTheme="minorEastAsia" w:hint="eastAsia"/>
                <w:sz w:val="24"/>
                <w:szCs w:val="24"/>
              </w:rPr>
              <w:t>万</w:t>
            </w:r>
          </w:p>
        </w:tc>
      </w:tr>
      <w:tr w:rsidR="008D6C3B" w:rsidRPr="00B42832" w:rsidTr="00DA70D1">
        <w:trPr>
          <w:jc w:val="center"/>
        </w:trPr>
        <w:tc>
          <w:tcPr>
            <w:tcW w:w="1242"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W</w:t>
            </w:r>
            <w:r w:rsidRPr="00B42832">
              <w:rPr>
                <w:rFonts w:asciiTheme="minorEastAsia" w:hAnsiTheme="minorEastAsia"/>
                <w:sz w:val="24"/>
                <w:szCs w:val="24"/>
              </w:rPr>
              <w:t>040502</w:t>
            </w:r>
          </w:p>
        </w:tc>
        <w:tc>
          <w:tcPr>
            <w:tcW w:w="2410"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长宁区古北板块</w:t>
            </w:r>
          </w:p>
        </w:tc>
        <w:tc>
          <w:tcPr>
            <w:tcW w:w="2126"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12762</w:t>
            </w:r>
          </w:p>
        </w:tc>
        <w:tc>
          <w:tcPr>
            <w:tcW w:w="2127"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10万</w:t>
            </w:r>
            <w:r w:rsidR="0023612A" w:rsidRPr="00B42832">
              <w:rPr>
                <w:rFonts w:asciiTheme="minorEastAsia" w:hAnsiTheme="minorEastAsia" w:hint="eastAsia"/>
                <w:sz w:val="24"/>
                <w:szCs w:val="24"/>
              </w:rPr>
              <w:t>左右</w:t>
            </w:r>
          </w:p>
        </w:tc>
      </w:tr>
      <w:tr w:rsidR="008D6C3B" w:rsidRPr="00B42832" w:rsidTr="00DA70D1">
        <w:trPr>
          <w:jc w:val="center"/>
        </w:trPr>
        <w:tc>
          <w:tcPr>
            <w:tcW w:w="1242"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196a-</w:t>
            </w:r>
            <w:r w:rsidRPr="00B42832">
              <w:rPr>
                <w:rFonts w:asciiTheme="minorEastAsia" w:hAnsiTheme="minorEastAsia"/>
                <w:sz w:val="24"/>
                <w:szCs w:val="24"/>
              </w:rPr>
              <w:t>08</w:t>
            </w:r>
          </w:p>
        </w:tc>
        <w:tc>
          <w:tcPr>
            <w:tcW w:w="2410"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徐汇区漕河泾板块</w:t>
            </w:r>
          </w:p>
        </w:tc>
        <w:tc>
          <w:tcPr>
            <w:tcW w:w="2126" w:type="dxa"/>
          </w:tcPr>
          <w:p w:rsidR="00DA70D1" w:rsidRPr="00B42832" w:rsidRDefault="00DA70D1"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6466</w:t>
            </w:r>
          </w:p>
        </w:tc>
        <w:tc>
          <w:tcPr>
            <w:tcW w:w="2127" w:type="dxa"/>
          </w:tcPr>
          <w:p w:rsidR="00DA70D1"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sz w:val="24"/>
                <w:szCs w:val="24"/>
              </w:rPr>
              <w:t>7</w:t>
            </w:r>
            <w:r w:rsidRPr="00B42832">
              <w:rPr>
                <w:rFonts w:asciiTheme="minorEastAsia" w:hAnsiTheme="minorEastAsia" w:hint="eastAsia"/>
                <w:sz w:val="24"/>
                <w:szCs w:val="24"/>
              </w:rPr>
              <w:t>万-</w:t>
            </w:r>
            <w:r w:rsidR="00DA70D1" w:rsidRPr="00B42832">
              <w:rPr>
                <w:rFonts w:asciiTheme="minorEastAsia" w:hAnsiTheme="minorEastAsia" w:hint="eastAsia"/>
                <w:sz w:val="24"/>
                <w:szCs w:val="24"/>
              </w:rPr>
              <w:t>8万</w:t>
            </w:r>
          </w:p>
        </w:tc>
      </w:tr>
      <w:tr w:rsidR="008D6C3B" w:rsidRPr="00B42832" w:rsidTr="00DA70D1">
        <w:trPr>
          <w:jc w:val="center"/>
        </w:trPr>
        <w:tc>
          <w:tcPr>
            <w:tcW w:w="1242" w:type="dxa"/>
          </w:tcPr>
          <w:p w:rsidR="0023612A"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E</w:t>
            </w:r>
            <w:r w:rsidRPr="00B42832">
              <w:rPr>
                <w:rFonts w:asciiTheme="minorEastAsia" w:hAnsiTheme="minorEastAsia"/>
                <w:sz w:val="24"/>
                <w:szCs w:val="24"/>
              </w:rPr>
              <w:t>17</w:t>
            </w:r>
            <w:r w:rsidRPr="00B42832">
              <w:rPr>
                <w:rFonts w:asciiTheme="minorEastAsia" w:hAnsiTheme="minorEastAsia" w:hint="eastAsia"/>
                <w:sz w:val="24"/>
                <w:szCs w:val="24"/>
              </w:rPr>
              <w:t>-</w:t>
            </w:r>
            <w:r w:rsidRPr="00B42832">
              <w:rPr>
                <w:rFonts w:asciiTheme="minorEastAsia" w:hAnsiTheme="minorEastAsia"/>
                <w:sz w:val="24"/>
                <w:szCs w:val="24"/>
              </w:rPr>
              <w:t>1</w:t>
            </w:r>
          </w:p>
        </w:tc>
        <w:tc>
          <w:tcPr>
            <w:tcW w:w="2410" w:type="dxa"/>
          </w:tcPr>
          <w:p w:rsidR="0023612A"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嘉定新城</w:t>
            </w:r>
          </w:p>
        </w:tc>
        <w:tc>
          <w:tcPr>
            <w:tcW w:w="2126" w:type="dxa"/>
          </w:tcPr>
          <w:p w:rsidR="0023612A"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5950</w:t>
            </w:r>
          </w:p>
        </w:tc>
        <w:tc>
          <w:tcPr>
            <w:tcW w:w="2127" w:type="dxa"/>
          </w:tcPr>
          <w:p w:rsidR="0023612A"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4万左右</w:t>
            </w:r>
          </w:p>
        </w:tc>
      </w:tr>
      <w:tr w:rsidR="00B42832" w:rsidRPr="00B42832" w:rsidTr="00DA70D1">
        <w:trPr>
          <w:jc w:val="center"/>
        </w:trPr>
        <w:tc>
          <w:tcPr>
            <w:tcW w:w="1242" w:type="dxa"/>
          </w:tcPr>
          <w:p w:rsidR="0023612A"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A3-06</w:t>
            </w:r>
            <w:r w:rsidRPr="00B42832">
              <w:rPr>
                <w:rFonts w:asciiTheme="minorEastAsia" w:hAnsiTheme="minorEastAsia"/>
                <w:sz w:val="24"/>
                <w:szCs w:val="24"/>
              </w:rPr>
              <w:t>0</w:t>
            </w:r>
          </w:p>
        </w:tc>
        <w:tc>
          <w:tcPr>
            <w:tcW w:w="2410" w:type="dxa"/>
          </w:tcPr>
          <w:p w:rsidR="0023612A"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浦东新区张江板块</w:t>
            </w:r>
          </w:p>
        </w:tc>
        <w:tc>
          <w:tcPr>
            <w:tcW w:w="2126" w:type="dxa"/>
          </w:tcPr>
          <w:p w:rsidR="0023612A"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5568</w:t>
            </w:r>
          </w:p>
        </w:tc>
        <w:tc>
          <w:tcPr>
            <w:tcW w:w="2127" w:type="dxa"/>
          </w:tcPr>
          <w:p w:rsidR="0023612A" w:rsidRPr="00B42832" w:rsidRDefault="0023612A" w:rsidP="00B42832">
            <w:pPr>
              <w:widowControl/>
              <w:spacing w:line="360" w:lineRule="auto"/>
              <w:rPr>
                <w:rFonts w:asciiTheme="minorEastAsia" w:hAnsiTheme="minorEastAsia"/>
                <w:sz w:val="24"/>
                <w:szCs w:val="24"/>
              </w:rPr>
            </w:pPr>
            <w:r w:rsidRPr="00B42832">
              <w:rPr>
                <w:rFonts w:asciiTheme="minorEastAsia" w:hAnsiTheme="minorEastAsia" w:hint="eastAsia"/>
                <w:sz w:val="24"/>
                <w:szCs w:val="24"/>
              </w:rPr>
              <w:t>7万左右</w:t>
            </w:r>
          </w:p>
        </w:tc>
      </w:tr>
    </w:tbl>
    <w:p w:rsidR="00AF2B28" w:rsidRPr="00A973A0" w:rsidRDefault="00AE4973" w:rsidP="00A973A0">
      <w:pPr>
        <w:widowControl/>
        <w:spacing w:line="360" w:lineRule="auto"/>
        <w:ind w:firstLineChars="200" w:firstLine="643"/>
        <w:rPr>
          <w:rFonts w:ascii="仿宋_GB2312" w:eastAsia="仿宋_GB2312" w:hAnsiTheme="minorEastAsia"/>
          <w:b/>
          <w:sz w:val="32"/>
          <w:szCs w:val="32"/>
        </w:rPr>
      </w:pPr>
      <w:r w:rsidRPr="00A973A0">
        <w:rPr>
          <w:rFonts w:ascii="仿宋_GB2312" w:eastAsia="仿宋_GB2312" w:hAnsiTheme="minorEastAsia" w:hint="eastAsia"/>
          <w:b/>
          <w:sz w:val="32"/>
          <w:szCs w:val="32"/>
        </w:rPr>
        <w:t>四</w:t>
      </w:r>
      <w:r w:rsidR="009A196E" w:rsidRPr="00A973A0">
        <w:rPr>
          <w:rFonts w:ascii="仿宋_GB2312" w:eastAsia="仿宋_GB2312" w:hAnsiTheme="minorEastAsia" w:hint="eastAsia"/>
          <w:b/>
          <w:sz w:val="32"/>
          <w:szCs w:val="32"/>
        </w:rPr>
        <w:t>、</w:t>
      </w:r>
      <w:r w:rsidR="00AF2B28" w:rsidRPr="00A973A0">
        <w:rPr>
          <w:rFonts w:ascii="仿宋_GB2312" w:eastAsia="仿宋_GB2312" w:hAnsiTheme="minorEastAsia" w:hint="eastAsia"/>
          <w:b/>
          <w:sz w:val="32"/>
          <w:szCs w:val="32"/>
        </w:rPr>
        <w:t>结论</w:t>
      </w:r>
      <w:r w:rsidR="009A196E" w:rsidRPr="00A973A0">
        <w:rPr>
          <w:rFonts w:ascii="仿宋_GB2312" w:eastAsia="仿宋_GB2312" w:hAnsiTheme="minorEastAsia" w:hint="eastAsia"/>
          <w:b/>
          <w:sz w:val="32"/>
          <w:szCs w:val="32"/>
        </w:rPr>
        <w:t>与建议</w:t>
      </w:r>
    </w:p>
    <w:p w:rsidR="009003BA" w:rsidRPr="00A973A0" w:rsidRDefault="00B71E0E" w:rsidP="00B42832">
      <w:pPr>
        <w:widowControl/>
        <w:spacing w:line="360" w:lineRule="auto"/>
        <w:ind w:firstLineChars="200" w:firstLine="640"/>
        <w:rPr>
          <w:rFonts w:ascii="仿宋_GB2312" w:eastAsia="仿宋_GB2312" w:hAnsiTheme="minorEastAsia"/>
          <w:sz w:val="32"/>
          <w:szCs w:val="32"/>
          <w:shd w:val="clear" w:color="auto" w:fill="FFFFFF"/>
        </w:rPr>
      </w:pPr>
      <w:r w:rsidRPr="00A973A0">
        <w:rPr>
          <w:rFonts w:ascii="仿宋_GB2312" w:eastAsia="仿宋_GB2312" w:hAnsiTheme="minorEastAsia" w:hint="eastAsia"/>
          <w:sz w:val="32"/>
          <w:szCs w:val="32"/>
          <w:shd w:val="clear" w:color="auto" w:fill="FFFFFF"/>
        </w:rPr>
        <w:t>4</w:t>
      </w:r>
      <w:r w:rsidR="009003BA" w:rsidRPr="00A973A0">
        <w:rPr>
          <w:rFonts w:ascii="仿宋_GB2312" w:eastAsia="仿宋_GB2312" w:hAnsiTheme="minorEastAsia" w:hint="eastAsia"/>
          <w:sz w:val="32"/>
          <w:szCs w:val="32"/>
          <w:shd w:val="clear" w:color="auto" w:fill="FFFFFF"/>
        </w:rPr>
        <w:t>.1土地供应不足与需求增加是当前上海房地产市场的主要矛盾，该矛盾在用地总量的红线下将长期存在，如果单纯靠需求侧的限购措施抑制房价上涨是不可靠的，缓解矛盾的主要方式应该是增加土地有效供给，在总量锁定的前提下，从优化存量用地着手，通过城中村改造、棚户区改造、宅基地置换等措施开发低效存量土地，适当提高容积率集约利用土地，同时针对国土部和地方政府的集约节约用地政策加以全面解读和正确引导，以缓解上海城市土地供求关系紧张与房价上涨的局面。</w:t>
      </w:r>
    </w:p>
    <w:p w:rsidR="009003BA" w:rsidRPr="00A973A0" w:rsidRDefault="00B71E0E" w:rsidP="00B42832">
      <w:pPr>
        <w:widowControl/>
        <w:spacing w:line="360" w:lineRule="auto"/>
        <w:ind w:firstLineChars="200" w:firstLine="640"/>
        <w:rPr>
          <w:rFonts w:ascii="仿宋_GB2312" w:eastAsia="仿宋_GB2312" w:hAnsiTheme="minorEastAsia"/>
          <w:sz w:val="32"/>
          <w:szCs w:val="32"/>
        </w:rPr>
      </w:pPr>
      <w:r w:rsidRPr="00A973A0">
        <w:rPr>
          <w:rFonts w:ascii="仿宋_GB2312" w:eastAsia="仿宋_GB2312" w:hAnsiTheme="minorEastAsia" w:hint="eastAsia"/>
          <w:sz w:val="32"/>
          <w:szCs w:val="32"/>
          <w:shd w:val="clear" w:color="auto" w:fill="FFFFFF"/>
        </w:rPr>
        <w:t>4</w:t>
      </w:r>
      <w:r w:rsidR="009003BA" w:rsidRPr="00A973A0">
        <w:rPr>
          <w:rFonts w:ascii="仿宋_GB2312" w:eastAsia="仿宋_GB2312" w:hAnsiTheme="minorEastAsia" w:hint="eastAsia"/>
          <w:sz w:val="32"/>
          <w:szCs w:val="32"/>
          <w:shd w:val="clear" w:color="auto" w:fill="FFFFFF"/>
        </w:rPr>
        <w:t>.2严格意义上来说，上海属于结构性用地紧缺，工业、商服、农村宅基地等用地规模偏大，挤压了城镇住宅用地空间。</w:t>
      </w:r>
      <w:r w:rsidR="009003BA" w:rsidRPr="00A973A0">
        <w:rPr>
          <w:rFonts w:ascii="仿宋_GB2312" w:eastAsia="仿宋_GB2312" w:hAnsiTheme="minorEastAsia" w:hint="eastAsia"/>
          <w:sz w:val="32"/>
          <w:szCs w:val="32"/>
        </w:rPr>
        <w:t>应适当减少工业、商办用地规模，转而增加住宅用地供应规模，同时盘活存量闲置或利用率不高的商办、工业用地，降低商办、工业用地比例，增加住宅用地比例，从根本上改变上海市用地结构性矛盾。</w:t>
      </w:r>
    </w:p>
    <w:p w:rsidR="009003BA" w:rsidRPr="00A973A0" w:rsidRDefault="008C47A3" w:rsidP="00B42832">
      <w:pPr>
        <w:widowControl/>
        <w:spacing w:line="360" w:lineRule="auto"/>
        <w:ind w:firstLineChars="200" w:firstLine="640"/>
        <w:rPr>
          <w:rFonts w:ascii="仿宋_GB2312" w:eastAsia="仿宋_GB2312" w:hAnsiTheme="minorEastAsia"/>
          <w:sz w:val="32"/>
          <w:szCs w:val="32"/>
        </w:rPr>
      </w:pPr>
      <w:r w:rsidRPr="00A973A0">
        <w:rPr>
          <w:rFonts w:ascii="仿宋_GB2312" w:eastAsia="仿宋_GB2312" w:hAnsiTheme="minorEastAsia" w:hint="eastAsia"/>
          <w:sz w:val="32"/>
          <w:szCs w:val="32"/>
        </w:rPr>
        <w:lastRenderedPageBreak/>
        <w:t>4.3</w:t>
      </w:r>
      <w:r w:rsidR="008242AE" w:rsidRPr="00A973A0">
        <w:rPr>
          <w:rFonts w:ascii="仿宋_GB2312" w:eastAsia="仿宋_GB2312" w:hAnsiTheme="minorEastAsia" w:hint="eastAsia"/>
          <w:sz w:val="32"/>
          <w:szCs w:val="32"/>
        </w:rPr>
        <w:t>租赁住宅</w:t>
      </w:r>
      <w:r w:rsidR="00F406CB" w:rsidRPr="00A973A0">
        <w:rPr>
          <w:rFonts w:ascii="仿宋_GB2312" w:eastAsia="仿宋_GB2312" w:hAnsiTheme="minorEastAsia" w:hint="eastAsia"/>
          <w:sz w:val="32"/>
          <w:szCs w:val="32"/>
        </w:rPr>
        <w:t>能快速有效的增加住房供给</w:t>
      </w:r>
      <w:r w:rsidR="008242AE" w:rsidRPr="00A973A0">
        <w:rPr>
          <w:rFonts w:ascii="仿宋_GB2312" w:eastAsia="仿宋_GB2312" w:hAnsiTheme="minorEastAsia" w:hint="eastAsia"/>
          <w:sz w:val="32"/>
          <w:szCs w:val="32"/>
        </w:rPr>
        <w:t>，将闲置工业用地</w:t>
      </w:r>
      <w:r w:rsidR="006843D8" w:rsidRPr="00A973A0">
        <w:rPr>
          <w:rFonts w:ascii="仿宋_GB2312" w:eastAsia="仿宋_GB2312" w:hAnsiTheme="minorEastAsia" w:hint="eastAsia"/>
          <w:sz w:val="32"/>
          <w:szCs w:val="32"/>
        </w:rPr>
        <w:t>、商业用房、</w:t>
      </w:r>
      <w:r w:rsidR="008242AE" w:rsidRPr="00A973A0">
        <w:rPr>
          <w:rFonts w:ascii="仿宋_GB2312" w:eastAsia="仿宋_GB2312" w:hAnsiTheme="minorEastAsia" w:hint="eastAsia"/>
          <w:sz w:val="32"/>
          <w:szCs w:val="32"/>
        </w:rPr>
        <w:t>集体建设用地有条件的转化为租赁住宅，不仅能够提高住房的有效供应，抑制过高的商品房价格，而且能盘活低效闲置用地，改善用地结构，</w:t>
      </w:r>
      <w:r w:rsidR="00F406CB" w:rsidRPr="00A973A0">
        <w:rPr>
          <w:rFonts w:ascii="仿宋_GB2312" w:eastAsia="仿宋_GB2312" w:hAnsiTheme="minorEastAsia" w:hint="eastAsia"/>
          <w:sz w:val="32"/>
          <w:szCs w:val="32"/>
        </w:rPr>
        <w:t>应作为</w:t>
      </w:r>
      <w:r w:rsidR="008242AE" w:rsidRPr="00A973A0">
        <w:rPr>
          <w:rFonts w:ascii="仿宋_GB2312" w:eastAsia="仿宋_GB2312" w:hAnsiTheme="minorEastAsia" w:hint="eastAsia"/>
          <w:sz w:val="32"/>
          <w:szCs w:val="32"/>
        </w:rPr>
        <w:t>房地产供给侧调控的长效政策</w:t>
      </w:r>
      <w:r w:rsidR="00F406CB" w:rsidRPr="00A973A0">
        <w:rPr>
          <w:rFonts w:ascii="仿宋_GB2312" w:eastAsia="仿宋_GB2312" w:hAnsiTheme="minorEastAsia" w:hint="eastAsia"/>
          <w:sz w:val="32"/>
          <w:szCs w:val="32"/>
        </w:rPr>
        <w:t>积极落实。</w:t>
      </w:r>
    </w:p>
    <w:p w:rsidR="00F406CB" w:rsidRPr="00A973A0" w:rsidRDefault="00F406CB" w:rsidP="00AF2B28">
      <w:pPr>
        <w:widowControl/>
        <w:spacing w:line="360" w:lineRule="auto"/>
        <w:ind w:firstLineChars="200" w:firstLine="640"/>
        <w:rPr>
          <w:rFonts w:ascii="仿宋_GB2312" w:eastAsia="仿宋_GB2312"/>
          <w:sz w:val="32"/>
          <w:szCs w:val="32"/>
        </w:rPr>
      </w:pPr>
    </w:p>
    <w:p w:rsidR="00A973A0" w:rsidRDefault="00A973A0" w:rsidP="00654DED">
      <w:pPr>
        <w:widowControl/>
        <w:spacing w:line="360" w:lineRule="auto"/>
        <w:rPr>
          <w:rFonts w:ascii="仿宋_GB2312" w:eastAsia="仿宋_GB2312" w:hAnsiTheme="minorEastAsia"/>
          <w:b/>
          <w:sz w:val="32"/>
          <w:szCs w:val="32"/>
        </w:rPr>
      </w:pPr>
    </w:p>
    <w:p w:rsidR="00A973A0" w:rsidRDefault="00A973A0" w:rsidP="00654DED">
      <w:pPr>
        <w:widowControl/>
        <w:spacing w:line="360" w:lineRule="auto"/>
        <w:rPr>
          <w:rFonts w:ascii="仿宋_GB2312" w:eastAsia="仿宋_GB2312" w:hAnsiTheme="minorEastAsia"/>
          <w:b/>
          <w:sz w:val="32"/>
          <w:szCs w:val="32"/>
        </w:rPr>
      </w:pPr>
    </w:p>
    <w:p w:rsidR="00A973A0" w:rsidRDefault="00A973A0" w:rsidP="00654DED">
      <w:pPr>
        <w:widowControl/>
        <w:spacing w:line="360" w:lineRule="auto"/>
        <w:rPr>
          <w:rFonts w:ascii="仿宋_GB2312" w:eastAsia="仿宋_GB2312" w:hAnsiTheme="minorEastAsia"/>
          <w:b/>
          <w:sz w:val="32"/>
          <w:szCs w:val="32"/>
        </w:rPr>
      </w:pPr>
    </w:p>
    <w:p w:rsidR="009003BA" w:rsidRPr="00A973A0" w:rsidRDefault="009003BA" w:rsidP="00654DED">
      <w:pPr>
        <w:widowControl/>
        <w:spacing w:line="360" w:lineRule="auto"/>
        <w:rPr>
          <w:rFonts w:ascii="仿宋_GB2312" w:eastAsia="仿宋_GB2312" w:hAnsiTheme="minorEastAsia"/>
          <w:b/>
          <w:sz w:val="32"/>
          <w:szCs w:val="32"/>
        </w:rPr>
      </w:pPr>
      <w:r w:rsidRPr="00A973A0">
        <w:rPr>
          <w:rFonts w:ascii="仿宋_GB2312" w:eastAsia="仿宋_GB2312" w:hAnsiTheme="minorEastAsia" w:hint="eastAsia"/>
          <w:b/>
          <w:sz w:val="32"/>
          <w:szCs w:val="32"/>
        </w:rPr>
        <w:t>参考文献：</w:t>
      </w:r>
    </w:p>
    <w:p w:rsidR="0077649D" w:rsidRPr="00A973A0" w:rsidRDefault="00A76F85" w:rsidP="00A76F85">
      <w:pPr>
        <w:widowControl/>
        <w:spacing w:line="360" w:lineRule="auto"/>
        <w:rPr>
          <w:rFonts w:ascii="仿宋_GB2312" w:eastAsia="仿宋_GB2312"/>
          <w:sz w:val="32"/>
          <w:szCs w:val="32"/>
        </w:rPr>
      </w:pPr>
      <w:r w:rsidRPr="00A973A0">
        <w:rPr>
          <w:rFonts w:ascii="仿宋_GB2312" w:eastAsia="仿宋_GB2312" w:hint="eastAsia"/>
          <w:sz w:val="32"/>
          <w:szCs w:val="32"/>
          <w:shd w:val="clear" w:color="auto" w:fill="FFFFFF"/>
        </w:rPr>
        <w:t>[1]</w:t>
      </w:r>
      <w:r w:rsidRPr="00A973A0">
        <w:rPr>
          <w:rFonts w:ascii="仿宋_GB2312" w:eastAsia="仿宋_GB2312" w:hint="eastAsia"/>
          <w:sz w:val="32"/>
          <w:szCs w:val="32"/>
        </w:rPr>
        <w:t>朱嫒玲，燕玉铎，赵俐.土地供给信息对我国住宅市场价格影响研究[J],情报科学,2012(5).782-786.</w:t>
      </w:r>
    </w:p>
    <w:p w:rsidR="00AC2FE8" w:rsidRPr="00A973A0" w:rsidRDefault="00AC2FE8" w:rsidP="00A76F85">
      <w:pPr>
        <w:widowControl/>
        <w:spacing w:line="360" w:lineRule="auto"/>
        <w:rPr>
          <w:rFonts w:ascii="仿宋_GB2312" w:eastAsia="仿宋_GB2312"/>
          <w:sz w:val="32"/>
          <w:szCs w:val="32"/>
        </w:rPr>
      </w:pPr>
      <w:r w:rsidRPr="00A973A0">
        <w:rPr>
          <w:rFonts w:ascii="仿宋_GB2312" w:eastAsia="仿宋_GB2312" w:hint="eastAsia"/>
          <w:sz w:val="32"/>
          <w:szCs w:val="32"/>
        </w:rPr>
        <w:t>[2] 任辉.中国房价的影响因素及其变动趋势,</w:t>
      </w:r>
      <w:r w:rsidR="00461160" w:rsidRPr="00A973A0">
        <w:rPr>
          <w:rFonts w:ascii="仿宋_GB2312" w:eastAsia="仿宋_GB2312" w:hint="eastAsia"/>
          <w:sz w:val="32"/>
          <w:szCs w:val="32"/>
        </w:rPr>
        <w:t>新浪微博</w:t>
      </w:r>
      <w:r w:rsidRPr="00A973A0">
        <w:rPr>
          <w:rFonts w:ascii="仿宋_GB2312" w:eastAsia="仿宋_GB2312" w:hint="eastAsia"/>
          <w:sz w:val="32"/>
          <w:szCs w:val="32"/>
        </w:rPr>
        <w:t>. [2015].</w:t>
      </w:r>
    </w:p>
    <w:p w:rsidR="00A76F85" w:rsidRPr="00A973A0" w:rsidRDefault="00A76F85" w:rsidP="00A76F85">
      <w:pPr>
        <w:widowControl/>
        <w:spacing w:line="360" w:lineRule="auto"/>
        <w:rPr>
          <w:rFonts w:ascii="仿宋_GB2312" w:eastAsia="仿宋_GB2312"/>
          <w:sz w:val="32"/>
          <w:szCs w:val="32"/>
        </w:rPr>
      </w:pPr>
      <w:r w:rsidRPr="00A973A0">
        <w:rPr>
          <w:rFonts w:ascii="仿宋_GB2312" w:eastAsia="仿宋_GB2312" w:hint="eastAsia"/>
          <w:sz w:val="32"/>
          <w:szCs w:val="32"/>
        </w:rPr>
        <w:t>[</w:t>
      </w:r>
      <w:r w:rsidR="00AC2FE8" w:rsidRPr="00A973A0">
        <w:rPr>
          <w:rFonts w:ascii="仿宋_GB2312" w:eastAsia="仿宋_GB2312" w:hint="eastAsia"/>
          <w:sz w:val="32"/>
          <w:szCs w:val="32"/>
        </w:rPr>
        <w:t>3</w:t>
      </w:r>
      <w:r w:rsidRPr="00A973A0">
        <w:rPr>
          <w:rFonts w:ascii="仿宋_GB2312" w:eastAsia="仿宋_GB2312" w:hint="eastAsia"/>
          <w:sz w:val="32"/>
          <w:szCs w:val="32"/>
        </w:rPr>
        <w:t>] 张斌.货币炒法的偏见与悬案：为什么高房价不能归咎于货币高增长（三），</w:t>
      </w:r>
      <w:r w:rsidR="005A46F4" w:rsidRPr="00A973A0">
        <w:rPr>
          <w:rFonts w:ascii="仿宋_GB2312" w:eastAsia="仿宋_GB2312" w:hint="eastAsia"/>
          <w:sz w:val="32"/>
          <w:szCs w:val="32"/>
        </w:rPr>
        <w:t>“中国金融四十人论坛”官方微信公众号.</w:t>
      </w:r>
    </w:p>
    <w:p w:rsidR="005A46F4" w:rsidRPr="00A973A0" w:rsidRDefault="005A46F4" w:rsidP="00A76F85">
      <w:pPr>
        <w:widowControl/>
        <w:spacing w:line="360" w:lineRule="auto"/>
        <w:rPr>
          <w:rFonts w:ascii="仿宋_GB2312" w:eastAsia="仿宋_GB2312"/>
          <w:sz w:val="32"/>
          <w:szCs w:val="32"/>
        </w:rPr>
      </w:pPr>
      <w:r w:rsidRPr="00A973A0">
        <w:rPr>
          <w:rFonts w:ascii="仿宋_GB2312" w:eastAsia="仿宋_GB2312" w:hint="eastAsia"/>
          <w:sz w:val="32"/>
          <w:szCs w:val="32"/>
        </w:rPr>
        <w:t>[</w:t>
      </w:r>
      <w:r w:rsidR="00AC2FE8" w:rsidRPr="00A973A0">
        <w:rPr>
          <w:rFonts w:ascii="仿宋_GB2312" w:eastAsia="仿宋_GB2312" w:hint="eastAsia"/>
          <w:sz w:val="32"/>
          <w:szCs w:val="32"/>
        </w:rPr>
        <w:t>4</w:t>
      </w:r>
      <w:r w:rsidRPr="00A973A0">
        <w:rPr>
          <w:rFonts w:ascii="仿宋_GB2312" w:eastAsia="仿宋_GB2312" w:hint="eastAsia"/>
          <w:sz w:val="32"/>
          <w:szCs w:val="32"/>
        </w:rPr>
        <w:t>] 刘卫东. 中国城市土地开发及其供给问题研究[J],城市规划,2002(11),37-40.</w:t>
      </w:r>
    </w:p>
    <w:p w:rsidR="005A46F4" w:rsidRPr="00A973A0" w:rsidRDefault="005A46F4" w:rsidP="00A76F85">
      <w:pPr>
        <w:widowControl/>
        <w:spacing w:line="360" w:lineRule="auto"/>
        <w:rPr>
          <w:rFonts w:ascii="仿宋_GB2312" w:eastAsia="仿宋_GB2312"/>
          <w:sz w:val="32"/>
          <w:szCs w:val="32"/>
        </w:rPr>
      </w:pPr>
      <w:r w:rsidRPr="00A973A0">
        <w:rPr>
          <w:rFonts w:ascii="仿宋_GB2312" w:eastAsia="仿宋_GB2312" w:hint="eastAsia"/>
          <w:sz w:val="32"/>
          <w:szCs w:val="32"/>
        </w:rPr>
        <w:t>[</w:t>
      </w:r>
      <w:r w:rsidR="00AC2FE8" w:rsidRPr="00A973A0">
        <w:rPr>
          <w:rFonts w:ascii="仿宋_GB2312" w:eastAsia="仿宋_GB2312" w:hint="eastAsia"/>
          <w:sz w:val="32"/>
          <w:szCs w:val="32"/>
        </w:rPr>
        <w:t>5</w:t>
      </w:r>
      <w:r w:rsidRPr="00A973A0">
        <w:rPr>
          <w:rFonts w:ascii="仿宋_GB2312" w:eastAsia="仿宋_GB2312" w:hint="eastAsia"/>
          <w:sz w:val="32"/>
          <w:szCs w:val="32"/>
        </w:rPr>
        <w:t>]</w:t>
      </w:r>
      <w:r w:rsidR="00AC2FE8" w:rsidRPr="00A973A0">
        <w:rPr>
          <w:rFonts w:ascii="仿宋_GB2312" w:eastAsia="仿宋_GB2312" w:hint="eastAsia"/>
          <w:sz w:val="32"/>
          <w:szCs w:val="32"/>
        </w:rPr>
        <w:t xml:space="preserve"> 石忆邵，国际大都市建设用地规模与结构比较研究[M],北京:中国建筑工业出版社,2010.</w:t>
      </w:r>
    </w:p>
    <w:p w:rsidR="00730F3D" w:rsidRPr="006E099F" w:rsidRDefault="006E099F" w:rsidP="006E099F">
      <w:pPr>
        <w:widowControl/>
        <w:spacing w:line="360" w:lineRule="auto"/>
        <w:jc w:val="right"/>
        <w:rPr>
          <w:rFonts w:ascii="仿宋_GB2312" w:eastAsia="仿宋_GB2312" w:hint="eastAsia"/>
          <w:sz w:val="28"/>
          <w:szCs w:val="28"/>
        </w:rPr>
      </w:pPr>
      <w:r w:rsidRPr="006E099F">
        <w:rPr>
          <w:rFonts w:ascii="仿宋_GB2312" w:eastAsia="仿宋_GB2312" w:hint="eastAsia"/>
          <w:sz w:val="28"/>
          <w:szCs w:val="28"/>
        </w:rPr>
        <w:t>（</w:t>
      </w:r>
      <w:r w:rsidRPr="006E099F">
        <w:rPr>
          <w:rFonts w:ascii="仿宋_GB2312" w:eastAsia="仿宋_GB2312" w:hint="eastAsia"/>
          <w:sz w:val="28"/>
          <w:szCs w:val="28"/>
        </w:rPr>
        <w:t>作者单位：上海涌力土地房地产估价有限公司</w:t>
      </w:r>
      <w:r w:rsidRPr="006E099F">
        <w:rPr>
          <w:rFonts w:ascii="仿宋_GB2312" w:eastAsia="仿宋_GB2312" w:hint="eastAsia"/>
          <w:sz w:val="28"/>
          <w:szCs w:val="28"/>
        </w:rPr>
        <w:t>）</w:t>
      </w:r>
      <w:bookmarkStart w:id="0" w:name="_GoBack"/>
      <w:bookmarkEnd w:id="0"/>
    </w:p>
    <w:sectPr w:rsidR="00730F3D" w:rsidRPr="006E099F" w:rsidSect="0047041F">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D48" w:rsidRDefault="008B1D48" w:rsidP="003C1137">
      <w:r>
        <w:separator/>
      </w:r>
    </w:p>
  </w:endnote>
  <w:endnote w:type="continuationSeparator" w:id="0">
    <w:p w:rsidR="008B1D48" w:rsidRDefault="008B1D48" w:rsidP="003C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D48" w:rsidRDefault="008B1D48" w:rsidP="003C1137">
      <w:r>
        <w:separator/>
      </w:r>
    </w:p>
  </w:footnote>
  <w:footnote w:type="continuationSeparator" w:id="0">
    <w:p w:rsidR="008B1D48" w:rsidRDefault="008B1D48" w:rsidP="003C1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1137"/>
    <w:rsid w:val="00022DE3"/>
    <w:rsid w:val="000359A2"/>
    <w:rsid w:val="0007096F"/>
    <w:rsid w:val="000723F9"/>
    <w:rsid w:val="000D2917"/>
    <w:rsid w:val="000F17CF"/>
    <w:rsid w:val="000F2CC9"/>
    <w:rsid w:val="0011098D"/>
    <w:rsid w:val="00122401"/>
    <w:rsid w:val="00166F30"/>
    <w:rsid w:val="00170E35"/>
    <w:rsid w:val="00171D7A"/>
    <w:rsid w:val="001771ED"/>
    <w:rsid w:val="001C1A72"/>
    <w:rsid w:val="001D67D2"/>
    <w:rsid w:val="00220459"/>
    <w:rsid w:val="002307A2"/>
    <w:rsid w:val="0023345B"/>
    <w:rsid w:val="0023612A"/>
    <w:rsid w:val="00237A28"/>
    <w:rsid w:val="0029732B"/>
    <w:rsid w:val="002A3B9F"/>
    <w:rsid w:val="002A5580"/>
    <w:rsid w:val="002B03D8"/>
    <w:rsid w:val="002F039B"/>
    <w:rsid w:val="00320C03"/>
    <w:rsid w:val="003317EF"/>
    <w:rsid w:val="00332136"/>
    <w:rsid w:val="003525AB"/>
    <w:rsid w:val="003619F8"/>
    <w:rsid w:val="00364367"/>
    <w:rsid w:val="00373A1E"/>
    <w:rsid w:val="00394614"/>
    <w:rsid w:val="003B6C7C"/>
    <w:rsid w:val="003C1137"/>
    <w:rsid w:val="003C3F5C"/>
    <w:rsid w:val="003D4B43"/>
    <w:rsid w:val="004118BE"/>
    <w:rsid w:val="004318C2"/>
    <w:rsid w:val="00461160"/>
    <w:rsid w:val="0047041F"/>
    <w:rsid w:val="004A21A6"/>
    <w:rsid w:val="004A51B7"/>
    <w:rsid w:val="004C06C0"/>
    <w:rsid w:val="004F5209"/>
    <w:rsid w:val="004F72D6"/>
    <w:rsid w:val="00522A87"/>
    <w:rsid w:val="00536627"/>
    <w:rsid w:val="0055120C"/>
    <w:rsid w:val="005561BE"/>
    <w:rsid w:val="005574FD"/>
    <w:rsid w:val="005A46F4"/>
    <w:rsid w:val="0064042D"/>
    <w:rsid w:val="00651B81"/>
    <w:rsid w:val="00654DED"/>
    <w:rsid w:val="00656010"/>
    <w:rsid w:val="00665BD0"/>
    <w:rsid w:val="006843D8"/>
    <w:rsid w:val="006A23E7"/>
    <w:rsid w:val="006B578C"/>
    <w:rsid w:val="006B766E"/>
    <w:rsid w:val="006C6C60"/>
    <w:rsid w:val="006D2C8F"/>
    <w:rsid w:val="006E099F"/>
    <w:rsid w:val="006F2ABE"/>
    <w:rsid w:val="00707BA1"/>
    <w:rsid w:val="00722C31"/>
    <w:rsid w:val="00730F3D"/>
    <w:rsid w:val="0076616E"/>
    <w:rsid w:val="0077649D"/>
    <w:rsid w:val="00795D4E"/>
    <w:rsid w:val="007A4FE2"/>
    <w:rsid w:val="008139D9"/>
    <w:rsid w:val="008242AE"/>
    <w:rsid w:val="00824447"/>
    <w:rsid w:val="00832848"/>
    <w:rsid w:val="008A1395"/>
    <w:rsid w:val="008A7BCC"/>
    <w:rsid w:val="008B1D48"/>
    <w:rsid w:val="008C47A3"/>
    <w:rsid w:val="008D6C3B"/>
    <w:rsid w:val="009003BA"/>
    <w:rsid w:val="00916AE3"/>
    <w:rsid w:val="0094472A"/>
    <w:rsid w:val="009456D9"/>
    <w:rsid w:val="00960CAA"/>
    <w:rsid w:val="00972D6F"/>
    <w:rsid w:val="009A196E"/>
    <w:rsid w:val="009A1CAF"/>
    <w:rsid w:val="009A1DA0"/>
    <w:rsid w:val="009B4638"/>
    <w:rsid w:val="00A140FD"/>
    <w:rsid w:val="00A2077D"/>
    <w:rsid w:val="00A76F85"/>
    <w:rsid w:val="00A973A0"/>
    <w:rsid w:val="00AA759D"/>
    <w:rsid w:val="00AC2FE8"/>
    <w:rsid w:val="00AD0FD6"/>
    <w:rsid w:val="00AE4973"/>
    <w:rsid w:val="00AE6DFD"/>
    <w:rsid w:val="00AF2B28"/>
    <w:rsid w:val="00B06EB7"/>
    <w:rsid w:val="00B42832"/>
    <w:rsid w:val="00B56843"/>
    <w:rsid w:val="00B649DA"/>
    <w:rsid w:val="00B71D08"/>
    <w:rsid w:val="00B71E0E"/>
    <w:rsid w:val="00BD4B7A"/>
    <w:rsid w:val="00C33154"/>
    <w:rsid w:val="00C34DD0"/>
    <w:rsid w:val="00C56BF6"/>
    <w:rsid w:val="00C632C7"/>
    <w:rsid w:val="00C76DD9"/>
    <w:rsid w:val="00CA223D"/>
    <w:rsid w:val="00CA3FAC"/>
    <w:rsid w:val="00CC455E"/>
    <w:rsid w:val="00CC4666"/>
    <w:rsid w:val="00D41ED9"/>
    <w:rsid w:val="00D634E5"/>
    <w:rsid w:val="00D71E20"/>
    <w:rsid w:val="00D75B5E"/>
    <w:rsid w:val="00DA70D1"/>
    <w:rsid w:val="00DB22EF"/>
    <w:rsid w:val="00DB6862"/>
    <w:rsid w:val="00DE0423"/>
    <w:rsid w:val="00E22FF7"/>
    <w:rsid w:val="00E34C04"/>
    <w:rsid w:val="00E35364"/>
    <w:rsid w:val="00E615DE"/>
    <w:rsid w:val="00E62C7D"/>
    <w:rsid w:val="00E75FDC"/>
    <w:rsid w:val="00E94345"/>
    <w:rsid w:val="00F17C2D"/>
    <w:rsid w:val="00F406CB"/>
    <w:rsid w:val="00F63F16"/>
    <w:rsid w:val="00F71EC9"/>
    <w:rsid w:val="00F94EEF"/>
    <w:rsid w:val="00FC06D7"/>
    <w:rsid w:val="00FC16E6"/>
    <w:rsid w:val="00FF0A55"/>
    <w:rsid w:val="00FF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5E334"/>
  <w15:docId w15:val="{909C01EB-FA4D-4947-A4FC-2400DE9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4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1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1137"/>
    <w:rPr>
      <w:sz w:val="18"/>
      <w:szCs w:val="18"/>
    </w:rPr>
  </w:style>
  <w:style w:type="paragraph" w:styleId="a5">
    <w:name w:val="footer"/>
    <w:basedOn w:val="a"/>
    <w:link w:val="a6"/>
    <w:uiPriority w:val="99"/>
    <w:unhideWhenUsed/>
    <w:rsid w:val="003C1137"/>
    <w:pPr>
      <w:tabs>
        <w:tab w:val="center" w:pos="4153"/>
        <w:tab w:val="right" w:pos="8306"/>
      </w:tabs>
      <w:snapToGrid w:val="0"/>
      <w:jc w:val="left"/>
    </w:pPr>
    <w:rPr>
      <w:sz w:val="18"/>
      <w:szCs w:val="18"/>
    </w:rPr>
  </w:style>
  <w:style w:type="character" w:customStyle="1" w:styleId="a6">
    <w:name w:val="页脚 字符"/>
    <w:basedOn w:val="a0"/>
    <w:link w:val="a5"/>
    <w:uiPriority w:val="99"/>
    <w:rsid w:val="003C1137"/>
    <w:rPr>
      <w:sz w:val="18"/>
      <w:szCs w:val="18"/>
    </w:rPr>
  </w:style>
  <w:style w:type="paragraph" w:styleId="a7">
    <w:name w:val="Balloon Text"/>
    <w:basedOn w:val="a"/>
    <w:link w:val="a8"/>
    <w:uiPriority w:val="99"/>
    <w:semiHidden/>
    <w:unhideWhenUsed/>
    <w:rsid w:val="009B4638"/>
    <w:rPr>
      <w:sz w:val="18"/>
      <w:szCs w:val="18"/>
    </w:rPr>
  </w:style>
  <w:style w:type="character" w:customStyle="1" w:styleId="a8">
    <w:name w:val="批注框文本 字符"/>
    <w:basedOn w:val="a0"/>
    <w:link w:val="a7"/>
    <w:uiPriority w:val="99"/>
    <w:semiHidden/>
    <w:rsid w:val="009B4638"/>
    <w:rPr>
      <w:sz w:val="18"/>
      <w:szCs w:val="18"/>
    </w:rPr>
  </w:style>
  <w:style w:type="paragraph" w:styleId="a9">
    <w:name w:val="List Paragraph"/>
    <w:basedOn w:val="a"/>
    <w:uiPriority w:val="34"/>
    <w:qFormat/>
    <w:rsid w:val="00D41ED9"/>
    <w:pPr>
      <w:ind w:firstLineChars="200" w:firstLine="420"/>
    </w:pPr>
  </w:style>
  <w:style w:type="table" w:styleId="aa">
    <w:name w:val="Table Grid"/>
    <w:basedOn w:val="a1"/>
    <w:uiPriority w:val="59"/>
    <w:rsid w:val="004F5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38380">
      <w:bodyDiv w:val="1"/>
      <w:marLeft w:val="0"/>
      <w:marRight w:val="0"/>
      <w:marTop w:val="0"/>
      <w:marBottom w:val="0"/>
      <w:divBdr>
        <w:top w:val="none" w:sz="0" w:space="0" w:color="auto"/>
        <w:left w:val="none" w:sz="0" w:space="0" w:color="auto"/>
        <w:bottom w:val="none" w:sz="0" w:space="0" w:color="auto"/>
        <w:right w:val="none" w:sz="0" w:space="0" w:color="auto"/>
      </w:divBdr>
    </w:div>
    <w:div w:id="165329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20379;&#32473;&#20391;&#25913;&#38761;\1978&#24180;&#20197;&#26469;&#20303;&#23429;&#25237;&#36164;&#21644;&#31459;&#24037;&#24314;&#31569;&#38754;&#312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c:f>
              <c:strCache>
                <c:ptCount val="1"/>
                <c:pt idx="0">
                  <c:v>商品房价格涨幅(%）</c:v>
                </c:pt>
              </c:strCache>
            </c:strRef>
          </c:tx>
          <c:invertIfNegative val="0"/>
          <c:cat>
            <c:numRef>
              <c:f>Sheet3!$A$2:$A$17</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Sheet3!$B$2:$B$17</c:f>
              <c:numCache>
                <c:formatCode>0.00%</c:formatCode>
                <c:ptCount val="16"/>
                <c:pt idx="0">
                  <c:v>4.7229219143576813E-2</c:v>
                </c:pt>
                <c:pt idx="1">
                  <c:v>0.10012026458208072</c:v>
                </c:pt>
                <c:pt idx="2">
                  <c:v>9.5107952992620953E-2</c:v>
                </c:pt>
                <c:pt idx="3">
                  <c:v>0.24507112553032201</c:v>
                </c:pt>
                <c:pt idx="4">
                  <c:v>0.27981559430747671</c:v>
                </c:pt>
                <c:pt idx="5">
                  <c:v>4.9021143304620152E-2</c:v>
                </c:pt>
                <c:pt idx="6">
                  <c:v>0.22977008062108101</c:v>
                </c:pt>
                <c:pt idx="7">
                  <c:v>0.24948403544979969</c:v>
                </c:pt>
                <c:pt idx="8">
                  <c:v>0.30305091333074263</c:v>
                </c:pt>
                <c:pt idx="9">
                  <c:v>0.35112966967414838</c:v>
                </c:pt>
                <c:pt idx="10">
                  <c:v>0.19751655629139087</c:v>
                </c:pt>
                <c:pt idx="11">
                  <c:v>1.4424627863035118E-2</c:v>
                </c:pt>
                <c:pt idx="12">
                  <c:v>2.0397964746502018E-2</c:v>
                </c:pt>
                <c:pt idx="13">
                  <c:v>7.6399091759048965E-2</c:v>
                </c:pt>
                <c:pt idx="14">
                  <c:v>0.11593663399098314</c:v>
                </c:pt>
                <c:pt idx="15">
                  <c:v>0.19140103780578208</c:v>
                </c:pt>
              </c:numCache>
            </c:numRef>
          </c:val>
          <c:extLst>
            <c:ext xmlns:c16="http://schemas.microsoft.com/office/drawing/2014/chart" uri="{C3380CC4-5D6E-409C-BE32-E72D297353CC}">
              <c16:uniqueId val="{00000000-7D94-47A5-8ECC-5F8D751523AB}"/>
            </c:ext>
          </c:extLst>
        </c:ser>
        <c:dLbls>
          <c:showLegendKey val="0"/>
          <c:showVal val="0"/>
          <c:showCatName val="0"/>
          <c:showSerName val="0"/>
          <c:showPercent val="0"/>
          <c:showBubbleSize val="0"/>
        </c:dLbls>
        <c:gapWidth val="150"/>
        <c:axId val="78104064"/>
        <c:axId val="78105600"/>
      </c:barChart>
      <c:catAx>
        <c:axId val="78104064"/>
        <c:scaling>
          <c:orientation val="minMax"/>
        </c:scaling>
        <c:delete val="0"/>
        <c:axPos val="b"/>
        <c:numFmt formatCode="General" sourceLinked="1"/>
        <c:majorTickMark val="out"/>
        <c:minorTickMark val="none"/>
        <c:tickLblPos val="nextTo"/>
        <c:crossAx val="78105600"/>
        <c:crosses val="autoZero"/>
        <c:auto val="1"/>
        <c:lblAlgn val="ctr"/>
        <c:lblOffset val="100"/>
        <c:noMultiLvlLbl val="0"/>
      </c:catAx>
      <c:valAx>
        <c:axId val="78105600"/>
        <c:scaling>
          <c:orientation val="minMax"/>
        </c:scaling>
        <c:delete val="0"/>
        <c:axPos val="l"/>
        <c:numFmt formatCode="0.00%" sourceLinked="1"/>
        <c:majorTickMark val="out"/>
        <c:minorTickMark val="none"/>
        <c:tickLblPos val="nextTo"/>
        <c:crossAx val="781040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1517</TotalTime>
  <Pages>12</Pages>
  <Words>800</Words>
  <Characters>4566</Characters>
  <Application>Microsoft Office Word</Application>
  <DocSecurity>0</DocSecurity>
  <Lines>38</Lines>
  <Paragraphs>10</Paragraphs>
  <ScaleCrop>false</ScaleCrop>
  <Company>sigs</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linling Gong</cp:lastModifiedBy>
  <cp:revision>73</cp:revision>
  <dcterms:created xsi:type="dcterms:W3CDTF">2016-04-18T06:13:00Z</dcterms:created>
  <dcterms:modified xsi:type="dcterms:W3CDTF">2017-10-24T03:58:00Z</dcterms:modified>
</cp:coreProperties>
</file>